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3148" w:leader="none"/>
          <w:tab w:val="center" w:pos="4818" w:leader="none"/>
          <w:tab w:val="left" w:pos="6926" w:leader="none"/>
        </w:tabs>
        <w:spacing w:lineRule="auto" w:line="240"/>
        <w:ind w:hanging="0"/>
        <w:jc w:val="center"/>
        <w:rPr>
          <w:highlight w:val="none"/>
          <w:shd w:fill="auto" w:val="clear"/>
        </w:rPr>
      </w:pPr>
      <w:bookmarkStart w:id="0" w:name="_GoBack"/>
      <w:bookmarkEnd w:id="0"/>
      <w:r>
        <w:rPr>
          <w:b/>
          <w:bCs/>
          <w:color w:val="000000"/>
          <w:sz w:val="24"/>
          <w:szCs w:val="24"/>
          <w:shd w:fill="auto" w:val="clear"/>
        </w:rPr>
        <w:t>Договор подряда № ____</w:t>
      </w:r>
    </w:p>
    <w:p>
      <w:pPr>
        <w:pStyle w:val="Normal"/>
        <w:shd w:val="clear" w:color="auto" w:fill="FFFFFF"/>
        <w:spacing w:lineRule="auto" w:line="240"/>
        <w:ind w:hanging="0"/>
        <w:rPr>
          <w:b/>
          <w:bCs/>
          <w:color w:val="000000"/>
          <w:sz w:val="24"/>
          <w:szCs w:val="24"/>
          <w:highlight w:val="none"/>
          <w:shd w:fill="auto" w:val="clear"/>
        </w:rPr>
      </w:pPr>
      <w:r>
        <w:rPr>
          <w:b/>
          <w:bCs/>
          <w:color w:val="000000"/>
          <w:sz w:val="24"/>
          <w:szCs w:val="24"/>
          <w:shd w:fill="auto" w:val="clear"/>
        </w:rPr>
      </w:r>
    </w:p>
    <w:p>
      <w:pPr>
        <w:pStyle w:val="Normal"/>
        <w:shd w:val="clear" w:color="auto" w:fill="FFFFFF"/>
        <w:tabs>
          <w:tab w:val="clear" w:pos="709"/>
          <w:tab w:val="right" w:pos="993" w:leader="none"/>
        </w:tabs>
        <w:spacing w:lineRule="auto" w:line="240"/>
        <w:ind w:hanging="0"/>
        <w:rPr>
          <w:highlight w:val="none"/>
          <w:shd w:fill="auto" w:val="clear"/>
        </w:rPr>
      </w:pPr>
      <w:r>
        <w:rPr>
          <w:bCs/>
          <w:color w:val="000000"/>
          <w:sz w:val="24"/>
          <w:szCs w:val="24"/>
          <w:shd w:fill="auto" w:val="clear"/>
        </w:rPr>
        <w:t>г. _________</w:t>
        <w:tab/>
        <w:tab/>
        <w:tab/>
        <w:tab/>
        <w:tab/>
        <w:tab/>
        <w:tab/>
        <w:t xml:space="preserve">                        «___» _________ 20__ г.</w:t>
      </w:r>
    </w:p>
    <w:p>
      <w:pPr>
        <w:pStyle w:val="Normal"/>
        <w:shd w:val="clear" w:color="auto" w:fill="FFFFFF"/>
        <w:tabs>
          <w:tab w:val="clear" w:pos="709"/>
          <w:tab w:val="right" w:pos="9639" w:leader="none"/>
        </w:tabs>
        <w:spacing w:lineRule="auto" w:line="240"/>
        <w:ind w:hanging="0"/>
        <w:rPr>
          <w:bCs/>
          <w:color w:val="000000"/>
          <w:sz w:val="24"/>
          <w:szCs w:val="24"/>
          <w:highlight w:val="none"/>
          <w:shd w:fill="auto" w:val="clear"/>
        </w:rPr>
      </w:pPr>
      <w:r>
        <w:rPr>
          <w:bCs/>
          <w:color w:val="000000"/>
          <w:sz w:val="24"/>
          <w:szCs w:val="24"/>
          <w:shd w:fill="auto" w:val="clear"/>
        </w:rPr>
      </w:r>
    </w:p>
    <w:p>
      <w:pPr>
        <w:pStyle w:val="BodyText3"/>
        <w:ind w:firstLine="708"/>
        <w:rPr>
          <w:highlight w:val="none"/>
          <w:shd w:fill="auto" w:val="clear"/>
        </w:rPr>
      </w:pPr>
      <w:r>
        <w:rPr>
          <w:b/>
          <w:bCs/>
          <w:color w:val="000000"/>
          <w:shd w:fill="auto" w:val="clear"/>
        </w:rPr>
        <w:t>Акционерное общество «Дальневосточная генерирующая компания» (АО «ДГК»)</w:t>
      </w:r>
      <w:r>
        <w:rPr>
          <w:color w:val="000000"/>
          <w:shd w:fill="auto" w:val="clear"/>
        </w:rPr>
        <w:t xml:space="preserve"> (далее – «Заказчик») в лице ________________________________________________________, и</w:t>
      </w:r>
    </w:p>
    <w:p>
      <w:pPr>
        <w:pStyle w:val="BodyText3"/>
        <w:ind w:firstLine="708"/>
        <w:rPr>
          <w:highlight w:val="none"/>
          <w:shd w:fill="auto" w:val="clear"/>
        </w:rPr>
      </w:pPr>
      <w:r>
        <w:rPr>
          <w:b/>
          <w:color w:val="000000"/>
          <w:u w:val="none"/>
          <w:shd w:fill="auto" w:val="clear"/>
          <w:lang w:val="ru-RU"/>
        </w:rPr>
        <w:t xml:space="preserve">Полное наименование контрагента (Сокращенное наименование контрагента) </w:t>
      </w:r>
      <w:r>
        <w:rPr>
          <w:color w:val="000000"/>
          <w:shd w:fill="auto" w:val="clear"/>
        </w:rPr>
        <w:t xml:space="preserve">(далее – «Подрядчик»), в лице ________________, действующего на основании ______________, с другой стороны, </w:t>
      </w:r>
    </w:p>
    <w:p>
      <w:pPr>
        <w:pStyle w:val="BodyText3"/>
        <w:ind w:firstLine="708"/>
        <w:rPr>
          <w:highlight w:val="none"/>
          <w:shd w:fill="auto" w:val="clear"/>
        </w:rPr>
      </w:pPr>
      <w:r>
        <w:rPr>
          <w:color w:val="000000"/>
          <w:shd w:fill="auto" w:val="clear"/>
        </w:rPr>
        <w:t xml:space="preserve">совместно в дальнейшем именуемые «Стороны», а по отдельности – «Сторона», </w:t>
      </w:r>
    </w:p>
    <w:p>
      <w:pPr>
        <w:pStyle w:val="BodyText3"/>
        <w:ind w:firstLine="708"/>
        <w:rPr>
          <w:highlight w:val="none"/>
          <w:shd w:fill="auto" w:val="clear"/>
        </w:rPr>
      </w:pPr>
      <w:r>
        <w:rPr>
          <w:color w:val="000000"/>
          <w:shd w:fill="auto" w:val="clear"/>
        </w:rPr>
        <w:t>по результатам проведенной Заказчиком конкурентной процедуры по лоту № 22128006-ТПИР ОБСЛ-2026-ДГК-НТЭЦ</w:t>
      </w:r>
      <w:r>
        <w:rPr>
          <w:bCs/>
          <w:color w:val="000000"/>
          <w:shd w:fill="auto" w:val="clear"/>
        </w:rPr>
        <w:t>,</w:t>
      </w:r>
      <w:r>
        <w:rPr>
          <w:shd w:fill="auto" w:val="clear"/>
        </w:rPr>
        <w:t xml:space="preserve"> </w:t>
      </w:r>
      <w:r>
        <w:rPr>
          <w:color w:val="000000"/>
          <w:shd w:fill="auto" w:val="clear"/>
          <w:lang w:val="ru-RU"/>
        </w:rPr>
        <w:t>и</w:t>
      </w:r>
      <w:r>
        <w:rPr>
          <w:shd w:fill="auto" w:val="clear"/>
          <w:lang w:val="ru-RU"/>
        </w:rPr>
        <w:t xml:space="preserve"> </w:t>
      </w:r>
      <w:r>
        <w:rPr>
          <w:bCs/>
          <w:color w:val="000000"/>
          <w:shd w:fill="auto" w:val="clear"/>
        </w:rPr>
        <w:t>на основании Протокола №_______ от «___»__________года</w:t>
      </w:r>
      <w:r>
        <w:rPr>
          <w:bCs/>
          <w:color w:val="000000"/>
          <w:shd w:fill="auto" w:val="clear"/>
          <w:lang w:val="ru-RU"/>
        </w:rPr>
        <w:t>,</w:t>
      </w:r>
    </w:p>
    <w:p>
      <w:pPr>
        <w:pStyle w:val="BodyText3"/>
        <w:ind w:firstLine="708"/>
        <w:rPr>
          <w:highlight w:val="none"/>
          <w:shd w:fill="auto" w:val="clear"/>
        </w:rPr>
      </w:pPr>
      <w:r>
        <w:rPr>
          <w:color w:val="000000"/>
          <w:shd w:fill="auto" w:val="clear"/>
        </w:rPr>
        <w:t>заключили настоящий договор (далее – «Договор») о нижеследующем:</w:t>
      </w:r>
    </w:p>
    <w:p>
      <w:pPr>
        <w:pStyle w:val="BodyText3"/>
        <w:ind w:firstLine="708"/>
        <w:rPr>
          <w:color w:val="auto"/>
          <w:highlight w:val="none"/>
          <w:shd w:fill="auto" w:val="clear"/>
          <w:lang w:val="ru-RU"/>
        </w:rPr>
      </w:pPr>
      <w:r>
        <w:rPr>
          <w:color w:val="000000"/>
          <w:shd w:fill="auto" w:val="clear"/>
          <w:lang w:val="ru-RU"/>
        </w:rPr>
      </w:r>
    </w:p>
    <w:p>
      <w:pPr>
        <w:pStyle w:val="ListParagraph"/>
        <w:shd w:val="clear" w:color="auto" w:fill="FFFFFF"/>
        <w:tabs>
          <w:tab w:val="clear" w:pos="709"/>
          <w:tab w:val="left" w:pos="284" w:leader="none"/>
        </w:tabs>
        <w:ind w:left="0" w:hanging="0"/>
        <w:jc w:val="center"/>
        <w:rPr>
          <w:highlight w:val="none"/>
          <w:shd w:fill="auto" w:val="clear"/>
        </w:rPr>
      </w:pPr>
      <w:r>
        <w:rPr>
          <w:b/>
          <w:bCs/>
          <w:shd w:fill="auto" w:val="clear"/>
        </w:rPr>
        <w:t>Термины и определения</w:t>
      </w:r>
    </w:p>
    <w:p>
      <w:pPr>
        <w:pStyle w:val="BodyText3"/>
        <w:ind w:firstLine="708"/>
        <w:rPr>
          <w:highlight w:val="none"/>
          <w:shd w:fill="auto" w:val="clear"/>
        </w:rPr>
      </w:pPr>
      <w:r>
        <w:rPr>
          <w:color w:val="000000"/>
          <w:shd w:fill="auto" w:val="clear"/>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highlight w:val="none"/>
          <w:shd w:fill="auto" w:val="clear"/>
        </w:rPr>
      </w:pPr>
      <w:r>
        <w:rPr>
          <w:b/>
          <w:shd w:fill="auto" w:val="clear"/>
          <w:lang w:eastAsia="en-US"/>
        </w:rPr>
        <w:t xml:space="preserve">«Акт КС-2», «Справка КС-3» – </w:t>
      </w:r>
      <w:r>
        <w:rPr>
          <w:shd w:fill="auto" w:val="clea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highlight w:val="none"/>
          <w:shd w:fill="auto" w:val="clear"/>
        </w:rPr>
      </w:pPr>
      <w:r>
        <w:rPr>
          <w:b/>
          <w:shd w:fill="auto" w:val="clear"/>
          <w:lang w:eastAsia="en-US"/>
        </w:rPr>
        <w:t xml:space="preserve">«Акт КС-11», </w:t>
      </w:r>
      <w:r>
        <w:rPr>
          <w:shd w:fill="auto" w:val="clear"/>
          <w:lang w:eastAsia="en-US"/>
        </w:rPr>
        <w:t xml:space="preserve"> – документы, оформляемые по унифицированным формам № КС-11 «Акт приемки законченного строительством объекта </w:t>
      </w:r>
      <w:r>
        <w:rPr>
          <w:shd w:fill="auto" w:val="clear"/>
        </w:rPr>
        <w:t xml:space="preserve">утвержденный постановлением </w:t>
      </w:r>
      <w:r>
        <w:rPr>
          <w:shd w:fill="auto" w:val="clear"/>
          <w:lang w:eastAsia="en-US"/>
        </w:rPr>
        <w:t>Госкомстата РФ от 30.10.1997 № 71а, подписываемый Сторонами по окончании всех Работ по Объекту, предусмотренных Договором.</w:t>
      </w:r>
    </w:p>
    <w:p>
      <w:pPr>
        <w:pStyle w:val="Normal"/>
        <w:spacing w:lineRule="auto" w:line="240"/>
        <w:ind w:firstLine="708"/>
        <w:rPr>
          <w:highlight w:val="none"/>
          <w:shd w:fill="auto" w:val="clear"/>
        </w:rPr>
      </w:pPr>
      <w:r>
        <w:rPr>
          <w:b/>
          <w:shd w:fill="auto" w:val="clear"/>
          <w:lang w:eastAsia="en-US"/>
        </w:rPr>
        <w:t>«</w:t>
      </w:r>
      <w:r>
        <w:rPr>
          <w:b/>
          <w:sz w:val="24"/>
          <w:szCs w:val="24"/>
          <w:shd w:fill="auto" w:val="clear"/>
          <w:lang w:eastAsia="en-US"/>
        </w:rPr>
        <w:t xml:space="preserve">Акт ОС-3» – </w:t>
      </w:r>
      <w:r>
        <w:rPr>
          <w:sz w:val="24"/>
          <w:szCs w:val="24"/>
          <w:shd w:fill="auto" w:val="clear"/>
          <w:lang w:eastAsia="en-US"/>
        </w:rPr>
        <w:t>документ, оформляемый по унифицированной форме № ОС-3 «А</w:t>
      </w:r>
      <w:r>
        <w:rPr>
          <w:sz w:val="24"/>
          <w:szCs w:val="24"/>
          <w:shd w:fill="auto" w:val="clear"/>
        </w:rPr>
        <w:t>кт</w:t>
      </w:r>
      <w:r>
        <w:rPr>
          <w:bCs/>
          <w:sz w:val="24"/>
          <w:szCs w:val="24"/>
          <w:shd w:fill="auto" w:val="clear"/>
        </w:rPr>
        <w:t xml:space="preserve"> о приеме-сдаче отремонтированных, реконструированных, модернизированных объектов основных средств, утвержденной </w:t>
      </w:r>
      <w:r>
        <w:rPr>
          <w:sz w:val="24"/>
          <w:szCs w:val="24"/>
          <w:shd w:fill="auto" w:val="clear"/>
        </w:rPr>
        <w:t xml:space="preserve">Постановлением Госкомстата РФ от 21.01.2003 № 7. </w:t>
      </w:r>
    </w:p>
    <w:p>
      <w:pPr>
        <w:pStyle w:val="ListParagraph"/>
        <w:ind w:left="0" w:firstLine="708"/>
        <w:jc w:val="both"/>
        <w:rPr>
          <w:highlight w:val="none"/>
          <w:shd w:fill="auto" w:val="clear"/>
        </w:rPr>
      </w:pPr>
      <w:r>
        <w:rPr>
          <w:b/>
          <w:shd w:fill="auto" w:val="clear"/>
          <w:lang w:eastAsia="en-US"/>
        </w:rPr>
        <w:t>«Акт освидетельствования выполненных работ»</w:t>
      </w:r>
      <w:r>
        <w:rPr>
          <w:shd w:fill="auto" w:val="clear"/>
          <w:lang w:eastAsia="en-US"/>
        </w:rPr>
        <w:t xml:space="preserve"> – документ, оформляемый по форме, установленной Договором, подписываемый Сторонами по завершении работ по каждому Этапу Работ, предусмотренных Договором. </w:t>
      </w:r>
    </w:p>
    <w:p>
      <w:pPr>
        <w:pStyle w:val="ListParagraph"/>
        <w:ind w:left="0" w:firstLine="708"/>
        <w:jc w:val="both"/>
        <w:rPr>
          <w:highlight w:val="none"/>
          <w:shd w:fill="auto" w:val="clear"/>
        </w:rPr>
      </w:pPr>
      <w:r>
        <w:rPr>
          <w:shd w:fill="auto" w:val="clea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Работ.</w:t>
      </w:r>
    </w:p>
    <w:p>
      <w:pPr>
        <w:pStyle w:val="ListParagraph"/>
        <w:ind w:left="0" w:firstLine="708"/>
        <w:jc w:val="both"/>
        <w:rPr>
          <w:highlight w:val="none"/>
          <w:shd w:fill="auto" w:val="clear"/>
        </w:rPr>
      </w:pPr>
      <w:r>
        <w:rPr>
          <w:b/>
          <w:bCs/>
          <w:shd w:fill="auto" w:val="clear"/>
        </w:rPr>
        <w:t xml:space="preserve">«Банковская гарантия» </w:t>
      </w:r>
      <w:r>
        <w:rPr>
          <w:shd w:fill="auto" w:val="clear"/>
        </w:rPr>
        <w:t>–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 в той мере, в какой указанные правила не противоречат законодательству Российской Федерации и условиям настоящего Договора.</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b/>
          <w:shd w:fill="auto" w:val="clear"/>
          <w:lang w:eastAsia="en-US"/>
        </w:rPr>
        <w:t>«Гарантийный срок»</w:t>
      </w:r>
      <w:r>
        <w:rPr>
          <w:shd w:fill="auto" w:val="clear"/>
        </w:rPr>
        <w:t xml:space="preserve"> </w:t>
      </w:r>
      <w:r>
        <w:rPr>
          <w:shd w:fill="auto" w:val="clea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b/>
          <w:shd w:fill="auto" w:val="clear"/>
          <w:lang w:eastAsia="en-US"/>
        </w:rPr>
        <w:t>«Гарантированные показатели»</w:t>
      </w:r>
      <w:r>
        <w:rPr>
          <w:shd w:fill="auto" w:val="clear"/>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b/>
          <w:shd w:fill="auto" w:val="clear"/>
          <w:lang w:eastAsia="en-US"/>
        </w:rPr>
        <w:t>«Договор»</w:t>
      </w:r>
      <w:r>
        <w:rPr>
          <w:shd w:fill="auto" w:val="clea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b/>
          <w:shd w:fill="auto" w:val="clear"/>
          <w:lang w:eastAsia="en-US"/>
        </w:rPr>
        <w:t xml:space="preserve"> </w:t>
      </w:r>
      <w:r>
        <w:rPr>
          <w:b/>
          <w:shd w:fill="auto" w:val="clear"/>
          <w:lang w:eastAsia="en-US"/>
        </w:rPr>
        <w:t>«Коммерческая тайна»</w:t>
      </w:r>
      <w:r>
        <w:rPr>
          <w:shd w:fill="auto" w:val="clea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b/>
          <w:shd w:fill="auto" w:val="clear"/>
          <w:lang w:eastAsia="en-US"/>
        </w:rPr>
        <w:t>«Лимит на непредвиденные работы и затраты»</w:t>
      </w:r>
      <w:r>
        <w:rPr>
          <w:shd w:fill="auto" w:val="clea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b/>
          <w:shd w:fill="auto" w:val="clear"/>
          <w:lang w:eastAsia="en-US"/>
        </w:rPr>
        <w:t>«Материально-технические ресурсы и оборудование»</w:t>
      </w:r>
      <w:r>
        <w:rPr>
          <w:shd w:fill="auto" w:val="clea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b/>
          <w:bCs/>
          <w:shd w:fill="auto" w:val="clear"/>
          <w:lang w:eastAsia="en-US"/>
        </w:rPr>
        <w:t>«Обеспечительный платеж»</w:t>
      </w:r>
      <w:r>
        <w:rPr>
          <w:shd w:fill="auto" w:val="clear"/>
          <w:lang w:eastAsia="en-US"/>
        </w:rPr>
        <w:t xml:space="preserve"> – </w:t>
      </w:r>
      <w:r>
        <w:rPr>
          <w:shd w:fill="auto" w:val="clear"/>
        </w:rPr>
        <w:t>платеж в размере 10 (десять) процентов от цены соответствующего Этапа Работ, который удерживается Заказчиком в качестве гарантийного резервирования в случае непредставления Подрядчиком Банковской гарантии в соответствии с требованиями, установленными Договором</w:t>
      </w:r>
      <w:r>
        <w:rPr>
          <w:shd w:fill="auto" w:val="clear"/>
          <w:lang w:eastAsia="en-US"/>
        </w:rPr>
        <w:t xml:space="preserve">. </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b/>
          <w:shd w:fill="auto" w:val="clear"/>
          <w:lang w:eastAsia="en-US"/>
        </w:rPr>
        <w:t>«Объект»</w:t>
      </w:r>
      <w:r>
        <w:rPr>
          <w:shd w:fill="auto" w:val="clear"/>
          <w:lang w:eastAsia="en-US"/>
        </w:rPr>
        <w:t xml:space="preserve"> – </w:t>
      </w:r>
      <w:r>
        <w:rPr>
          <w:rFonts w:eastAsia="Times New Roman" w:cs="Times New Roman"/>
          <w:sz w:val="24"/>
          <w:shd w:fill="auto" w:val="clear"/>
        </w:rPr>
        <w:t xml:space="preserve">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 (модернизированный деаэратор атмосферный ДА 200/75 подпитки котла СП Николаевская ТЭЦ инвентарный № </w:t>
      </w:r>
      <w:r>
        <w:rPr>
          <w:rFonts w:eastAsia="Times New Roman" w:cs="Times New Roman"/>
          <w:i w:val="false"/>
          <w:iCs w:val="false"/>
          <w:sz w:val="24"/>
          <w:szCs w:val="24"/>
          <w:shd w:fill="auto" w:val="clear"/>
        </w:rPr>
        <w:t>Б090000000008</w:t>
      </w:r>
      <w:r>
        <w:rPr>
          <w:rFonts w:eastAsia="Times New Roman" w:cs="Times New Roman"/>
          <w:i w:val="false"/>
          <w:iCs w:val="false"/>
          <w:sz w:val="24"/>
          <w:shd w:fill="auto" w:val="clear"/>
        </w:rPr>
        <w:t>)</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b/>
          <w:shd w:fill="auto" w:val="clear"/>
          <w:lang w:eastAsia="en-US"/>
        </w:rPr>
        <w:t xml:space="preserve">«Отказ от Договора» </w:t>
      </w:r>
      <w:r>
        <w:rPr>
          <w:shd w:fill="auto" w:val="clea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9"/>
          <w:tab w:val="left" w:pos="567" w:leader="none"/>
        </w:tabs>
        <w:spacing w:before="0" w:after="0"/>
        <w:ind w:firstLine="708"/>
        <w:jc w:val="both"/>
        <w:rPr>
          <w:highlight w:val="none"/>
          <w:shd w:fill="auto" w:val="clear"/>
        </w:rPr>
      </w:pPr>
      <w:r>
        <w:rPr>
          <w:sz w:val="24"/>
          <w:szCs w:val="24"/>
          <w:shd w:fill="auto" w:val="clear"/>
          <w:lang w:val="ru-RU" w:eastAsia="en-US"/>
        </w:rPr>
        <w:t>«Применимое право»</w:t>
      </w:r>
      <w:r>
        <w:rPr>
          <w:b w:val="false"/>
          <w:sz w:val="24"/>
          <w:szCs w:val="24"/>
          <w:shd w:fill="auto" w:val="clea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b/>
          <w:shd w:fill="auto" w:val="clear"/>
          <w:lang w:eastAsia="en-US"/>
        </w:rPr>
        <w:t>«Приемо-сдаточная документация»</w:t>
      </w:r>
      <w:r>
        <w:rPr>
          <w:shd w:fill="auto" w:val="clea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9"/>
          <w:tab w:val="left" w:pos="567" w:leader="none"/>
          <w:tab w:val="left" w:pos="1134" w:leader="none"/>
        </w:tabs>
        <w:ind w:left="0" w:firstLine="708"/>
        <w:jc w:val="both"/>
        <w:rPr>
          <w:highlight w:val="none"/>
          <w:shd w:fill="auto" w:val="clear"/>
        </w:rPr>
      </w:pPr>
      <w:r>
        <w:rPr>
          <w:shd w:fill="auto" w:val="clear"/>
          <w:lang w:eastAsia="en-US"/>
        </w:rPr>
        <w:t>К приемо-сдаточной документации относятся:</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highlight w:val="none"/>
          <w:shd w:fill="auto" w:val="clear"/>
        </w:rPr>
      </w:pPr>
      <w:r>
        <w:rPr>
          <w:shd w:fill="auto" w:val="clea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highlight w:val="none"/>
          <w:shd w:fill="auto" w:val="clear"/>
        </w:rPr>
      </w:pPr>
      <w:r>
        <w:rPr>
          <w:shd w:fill="auto" w:val="clea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highlight w:val="none"/>
          <w:shd w:fill="auto" w:val="clear"/>
        </w:rPr>
      </w:pPr>
      <w:r>
        <w:rPr>
          <w:shd w:fill="auto" w:val="clea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9"/>
          <w:tab w:val="left" w:pos="567" w:leader="none"/>
          <w:tab w:val="left" w:pos="1134" w:leader="none"/>
        </w:tabs>
        <w:ind w:left="0" w:firstLine="720"/>
        <w:jc w:val="both"/>
        <w:rPr>
          <w:highlight w:val="none"/>
          <w:shd w:fill="auto" w:val="clear"/>
        </w:rPr>
      </w:pPr>
      <w:r>
        <w:rPr>
          <w:shd w:fill="auto" w:val="clea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9"/>
          <w:tab w:val="left" w:pos="567" w:leader="none"/>
        </w:tabs>
        <w:spacing w:before="0" w:after="0"/>
        <w:ind w:firstLine="708"/>
        <w:jc w:val="both"/>
        <w:rPr>
          <w:highlight w:val="none"/>
          <w:shd w:fill="auto" w:val="clear"/>
        </w:rPr>
      </w:pPr>
      <w:r>
        <w:rPr>
          <w:sz w:val="24"/>
          <w:szCs w:val="24"/>
          <w:shd w:fill="auto" w:val="clear"/>
          <w:lang w:val="ru-RU" w:eastAsia="en-US"/>
        </w:rPr>
        <w:t>«Работы»</w:t>
      </w:r>
      <w:r>
        <w:rPr>
          <w:b w:val="false"/>
          <w:sz w:val="24"/>
          <w:szCs w:val="24"/>
          <w:shd w:fill="auto" w:val="clear"/>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Pr>
          <w:sz w:val="24"/>
          <w:szCs w:val="24"/>
          <w:shd w:fill="auto" w:val="clear"/>
          <w:lang w:eastAsia="ru-RU"/>
        </w:rPr>
        <w:t xml:space="preserve"> </w:t>
      </w:r>
      <w:r>
        <w:rPr>
          <w:b w:val="false"/>
          <w:sz w:val="24"/>
          <w:szCs w:val="24"/>
          <w:shd w:fill="auto" w:val="clear"/>
          <w:lang w:val="ru-RU" w:eastAsia="ru-RU"/>
        </w:rPr>
        <w:t>выявленных</w:t>
      </w:r>
      <w:r>
        <w:rPr>
          <w:sz w:val="24"/>
          <w:szCs w:val="24"/>
          <w:shd w:fill="auto" w:val="clear"/>
          <w:lang w:val="ru-RU" w:eastAsia="ru-RU"/>
        </w:rPr>
        <w:t xml:space="preserve"> </w:t>
      </w:r>
      <w:r>
        <w:rPr>
          <w:b w:val="false"/>
          <w:sz w:val="24"/>
          <w:szCs w:val="24"/>
          <w:shd w:fill="auto" w:val="clear"/>
          <w:lang w:eastAsia="ru-RU"/>
        </w:rPr>
        <w:t>недостатков, несоответстви</w:t>
      </w:r>
      <w:r>
        <w:rPr>
          <w:b w:val="false"/>
          <w:sz w:val="24"/>
          <w:szCs w:val="24"/>
          <w:shd w:fill="auto" w:val="clear"/>
          <w:lang w:val="ru-RU" w:eastAsia="ru-RU"/>
        </w:rPr>
        <w:t>й</w:t>
      </w:r>
      <w:r>
        <w:rPr>
          <w:b w:val="false"/>
          <w:sz w:val="24"/>
          <w:szCs w:val="24"/>
          <w:shd w:fill="auto" w:val="clear"/>
          <w:lang w:eastAsia="ru-RU"/>
        </w:rPr>
        <w:t xml:space="preserve"> и / или дефект</w:t>
      </w:r>
      <w:r>
        <w:rPr>
          <w:b w:val="false"/>
          <w:sz w:val="24"/>
          <w:szCs w:val="24"/>
          <w:shd w:fill="auto" w:val="clear"/>
          <w:lang w:val="ru-RU" w:eastAsia="ru-RU"/>
        </w:rPr>
        <w:t>ов</w:t>
      </w:r>
      <w:r>
        <w:rPr>
          <w:b w:val="false"/>
          <w:sz w:val="24"/>
          <w:szCs w:val="24"/>
          <w:shd w:fill="auto" w:val="clear"/>
          <w:lang w:eastAsia="ru-RU"/>
        </w:rPr>
        <w:t xml:space="preserve"> в </w:t>
      </w:r>
      <w:r>
        <w:rPr>
          <w:b w:val="false"/>
          <w:sz w:val="24"/>
          <w:szCs w:val="24"/>
          <w:shd w:fill="auto" w:val="clear"/>
          <w:lang w:val="ru-RU" w:eastAsia="ru-RU"/>
        </w:rPr>
        <w:t>Результате</w:t>
      </w:r>
      <w:r>
        <w:rPr>
          <w:b w:val="false"/>
          <w:sz w:val="24"/>
          <w:szCs w:val="24"/>
          <w:shd w:fill="auto" w:val="clear"/>
          <w:lang w:eastAsia="ru-RU"/>
        </w:rPr>
        <w:t xml:space="preserve"> </w:t>
      </w:r>
      <w:r>
        <w:rPr>
          <w:b w:val="false"/>
          <w:sz w:val="24"/>
          <w:szCs w:val="24"/>
          <w:shd w:fill="auto" w:val="clear"/>
          <w:lang w:val="ru-RU" w:eastAsia="ru-RU"/>
        </w:rPr>
        <w:t>Работ</w:t>
      </w:r>
      <w:r>
        <w:rPr>
          <w:b w:val="false"/>
          <w:sz w:val="24"/>
          <w:szCs w:val="24"/>
          <w:shd w:fill="auto" w:val="clear"/>
          <w:lang w:eastAsia="ru-RU"/>
        </w:rPr>
        <w:t>, а также любые иные работы</w:t>
      </w:r>
      <w:r>
        <w:rPr>
          <w:b w:val="false"/>
          <w:sz w:val="24"/>
          <w:szCs w:val="24"/>
          <w:shd w:fill="auto" w:val="clear"/>
          <w:lang w:val="ru-RU" w:eastAsia="ru-RU"/>
        </w:rPr>
        <w:t xml:space="preserve"> (в том числе приобретение Материально-технических ресурсов и оборудования)</w:t>
      </w:r>
      <w:r>
        <w:rPr>
          <w:b w:val="false"/>
          <w:sz w:val="24"/>
          <w:szCs w:val="24"/>
          <w:shd w:fill="auto" w:val="clear"/>
          <w:lang w:eastAsia="ru-RU"/>
        </w:rPr>
        <w:t xml:space="preserve">, необходимые для выполнения Подрядчиком своих обязательств по Договору, независимо от </w:t>
      </w:r>
      <w:r>
        <w:rPr>
          <w:b w:val="false"/>
          <w:sz w:val="24"/>
          <w:szCs w:val="24"/>
          <w:shd w:fill="auto" w:val="clear"/>
          <w:lang w:val="ru-RU" w:eastAsia="ru-RU"/>
        </w:rPr>
        <w:t>их</w:t>
      </w:r>
      <w:r>
        <w:rPr>
          <w:b w:val="false"/>
          <w:sz w:val="24"/>
          <w:szCs w:val="24"/>
          <w:shd w:fill="auto" w:val="clear"/>
          <w:lang w:eastAsia="ru-RU"/>
        </w:rPr>
        <w:t xml:space="preserve"> прямо</w:t>
      </w:r>
      <w:r>
        <w:rPr>
          <w:b w:val="false"/>
          <w:sz w:val="24"/>
          <w:szCs w:val="24"/>
          <w:shd w:fill="auto" w:val="clear"/>
          <w:lang w:val="ru-RU" w:eastAsia="ru-RU"/>
        </w:rPr>
        <w:t>го указания</w:t>
      </w:r>
      <w:r>
        <w:rPr>
          <w:b w:val="false"/>
          <w:sz w:val="24"/>
          <w:szCs w:val="24"/>
          <w:shd w:fill="auto" w:val="clear"/>
          <w:lang w:eastAsia="ru-RU"/>
        </w:rPr>
        <w:t xml:space="preserve"> в Договоре.</w:t>
      </w:r>
      <w:r>
        <w:rPr>
          <w:sz w:val="24"/>
          <w:szCs w:val="24"/>
          <w:shd w:fill="auto" w:val="clear"/>
          <w:lang w:eastAsia="ru-RU"/>
        </w:rPr>
        <w:t xml:space="preserve"> </w:t>
      </w:r>
    </w:p>
    <w:p>
      <w:pPr>
        <w:pStyle w:val="Normal"/>
        <w:widowControl w:val="false"/>
        <w:tabs>
          <w:tab w:val="clear" w:pos="709"/>
          <w:tab w:val="left" w:pos="567" w:leader="none"/>
        </w:tabs>
        <w:spacing w:lineRule="auto" w:line="240"/>
        <w:ind w:firstLine="708"/>
        <w:rPr>
          <w:highlight w:val="none"/>
          <w:shd w:fill="auto" w:val="clear"/>
        </w:rPr>
      </w:pPr>
      <w:r>
        <w:rPr>
          <w:sz w:val="24"/>
          <w:szCs w:val="24"/>
          <w:shd w:fill="auto" w:val="clear"/>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9"/>
          <w:tab w:val="left" w:pos="567" w:leader="none"/>
        </w:tabs>
        <w:spacing w:lineRule="auto" w:line="240"/>
        <w:ind w:firstLine="708"/>
        <w:rPr>
          <w:highlight w:val="none"/>
          <w:shd w:fill="auto" w:val="clear"/>
        </w:rPr>
      </w:pPr>
      <w:r>
        <w:rPr>
          <w:b/>
          <w:sz w:val="24"/>
          <w:szCs w:val="24"/>
          <w:shd w:fill="auto" w:val="clear"/>
          <w:lang w:eastAsia="en-US"/>
        </w:rPr>
        <w:t>«Рабочий день»</w:t>
      </w:r>
      <w:r>
        <w:rPr>
          <w:sz w:val="24"/>
          <w:szCs w:val="24"/>
          <w:shd w:fill="auto" w:val="clear"/>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9"/>
          <w:tab w:val="left" w:pos="567" w:leader="none"/>
        </w:tabs>
        <w:spacing w:before="0" w:after="0"/>
        <w:ind w:firstLine="708"/>
        <w:jc w:val="both"/>
        <w:rPr>
          <w:highlight w:val="none"/>
          <w:shd w:fill="auto" w:val="clear"/>
        </w:rPr>
      </w:pPr>
      <w:r>
        <w:rPr>
          <w:sz w:val="24"/>
          <w:szCs w:val="24"/>
          <w:shd w:fill="auto" w:val="clear"/>
          <w:lang w:val="ru-RU" w:eastAsia="en-US"/>
        </w:rPr>
        <w:t>«Результат Работ»</w:t>
      </w:r>
      <w:r>
        <w:rPr>
          <w:b w:val="false"/>
          <w:sz w:val="24"/>
          <w:szCs w:val="24"/>
          <w:shd w:fill="auto" w:val="clear"/>
          <w:lang w:val="ru-RU" w:eastAsia="en-US"/>
        </w:rPr>
        <w:t xml:space="preserve"> – готовый к эксплуатации Объект, принятый Заказчиком в Гарантийную эксплуатацию по Акту КС-14 соответствующий требованиям, изложенным в Техническом задании (Приложение № 1 к Договору).</w:t>
      </w:r>
    </w:p>
    <w:p>
      <w:pPr>
        <w:pStyle w:val="Heading3"/>
        <w:keepNext w:val="false"/>
        <w:widowControl w:val="false"/>
        <w:tabs>
          <w:tab w:val="clear" w:pos="709"/>
          <w:tab w:val="left" w:pos="567" w:leader="none"/>
        </w:tabs>
        <w:spacing w:before="0" w:after="0"/>
        <w:ind w:firstLine="708"/>
        <w:jc w:val="both"/>
        <w:rPr>
          <w:highlight w:val="none"/>
          <w:shd w:fill="auto" w:val="clear"/>
        </w:rPr>
      </w:pPr>
      <w:r>
        <w:rPr>
          <w:sz w:val="24"/>
          <w:szCs w:val="24"/>
          <w:shd w:fill="auto" w:val="clear"/>
          <w:lang w:val="ru-RU" w:eastAsia="en-US"/>
        </w:rPr>
        <w:t>«Скрытые работы»</w:t>
      </w:r>
      <w:r>
        <w:rPr>
          <w:b w:val="false"/>
          <w:sz w:val="24"/>
          <w:szCs w:val="24"/>
          <w:shd w:fill="auto" w:val="clear"/>
          <w:lang w:val="ru-RU" w:eastAsia="en-US"/>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Calibri" w:eastAsiaTheme="minorHAnsi"/>
          <w:b w:val="false"/>
          <w:bCs/>
          <w:sz w:val="24"/>
          <w:szCs w:val="24"/>
          <w:shd w:fill="auto" w:val="clear"/>
          <w:lang w:eastAsia="en-US"/>
        </w:rPr>
        <w:t>но в соответствии с технологией их проведени</w:t>
      </w:r>
      <w:r>
        <w:rPr>
          <w:rFonts w:eastAsia="Calibri" w:eastAsiaTheme="minorHAnsi"/>
          <w:b w:val="false"/>
          <w:bCs/>
          <w:sz w:val="24"/>
          <w:szCs w:val="24"/>
          <w:shd w:fill="auto" w:val="clear"/>
          <w:lang w:val="ru-RU" w:eastAsia="en-US"/>
        </w:rPr>
        <w:t>я</w:t>
      </w:r>
      <w:r>
        <w:rPr>
          <w:rFonts w:eastAsia="Calibri" w:eastAsiaTheme="minorHAnsi"/>
          <w:b w:val="false"/>
          <w:bCs/>
          <w:sz w:val="24"/>
          <w:szCs w:val="24"/>
          <w:shd w:fill="auto" w:val="clear"/>
          <w:lang w:eastAsia="en-US"/>
        </w:rPr>
        <w:t xml:space="preserve"> контроль за </w:t>
      </w:r>
      <w:r>
        <w:rPr>
          <w:rFonts w:eastAsia="Calibri" w:eastAsiaTheme="minorHAnsi"/>
          <w:b w:val="false"/>
          <w:bCs/>
          <w:sz w:val="24"/>
          <w:szCs w:val="24"/>
          <w:shd w:fill="auto" w:val="clear"/>
          <w:lang w:val="ru-RU" w:eastAsia="en-US"/>
        </w:rPr>
        <w:t xml:space="preserve">их </w:t>
      </w:r>
      <w:r>
        <w:rPr>
          <w:rFonts w:eastAsia="Calibri" w:eastAsiaTheme="minorHAnsi"/>
          <w:b w:val="false"/>
          <w:bCs/>
          <w:sz w:val="24"/>
          <w:szCs w:val="24"/>
          <w:shd w:fill="auto" w:val="clear"/>
          <w:lang w:eastAsia="en-US"/>
        </w:rPr>
        <w:t xml:space="preserve">осуществлением не может быть проведен </w:t>
      </w:r>
      <w:r>
        <w:rPr>
          <w:rFonts w:eastAsia="Calibri" w:eastAsiaTheme="minorHAnsi"/>
          <w:b w:val="false"/>
          <w:bCs/>
          <w:sz w:val="24"/>
          <w:szCs w:val="24"/>
          <w:shd w:fill="auto" w:val="clear"/>
          <w:lang w:val="ru-RU" w:eastAsia="en-US"/>
        </w:rPr>
        <w:t xml:space="preserve">Заказчиком </w:t>
      </w:r>
      <w:r>
        <w:rPr>
          <w:rFonts w:eastAsia="Calibri" w:eastAsiaTheme="minorHAnsi"/>
          <w:b w:val="false"/>
          <w:bCs/>
          <w:sz w:val="24"/>
          <w:szCs w:val="24"/>
          <w:shd w:fill="auto" w:val="clear"/>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Pr>
          <w:rFonts w:eastAsia="Calibri" w:eastAsiaTheme="minorHAnsi"/>
          <w:b w:val="false"/>
          <w:bCs/>
          <w:sz w:val="24"/>
          <w:szCs w:val="24"/>
          <w:shd w:fill="auto" w:val="clear"/>
          <w:lang w:val="ru-RU" w:eastAsia="en-US"/>
        </w:rPr>
        <w:t>.</w:t>
      </w:r>
    </w:p>
    <w:p>
      <w:pPr>
        <w:pStyle w:val="Heading3"/>
        <w:keepNext w:val="false"/>
        <w:widowControl w:val="false"/>
        <w:tabs>
          <w:tab w:val="clear" w:pos="709"/>
          <w:tab w:val="left" w:pos="567" w:leader="none"/>
        </w:tabs>
        <w:spacing w:before="0" w:after="0"/>
        <w:ind w:firstLine="708"/>
        <w:jc w:val="both"/>
        <w:rPr>
          <w:highlight w:val="none"/>
          <w:shd w:fill="auto" w:val="clear"/>
        </w:rPr>
      </w:pPr>
      <w:r>
        <w:rPr>
          <w:sz w:val="24"/>
          <w:szCs w:val="24"/>
          <w:shd w:fill="auto" w:val="clear"/>
          <w:lang w:val="ru-RU" w:eastAsia="en-US"/>
        </w:rPr>
        <w:t>«Техническое задание»</w:t>
      </w:r>
      <w:r>
        <w:rPr>
          <w:b w:val="false"/>
          <w:sz w:val="24"/>
          <w:szCs w:val="24"/>
          <w:shd w:fill="auto" w:val="clear"/>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pPr>
        <w:pStyle w:val="Heading3"/>
        <w:keepNext w:val="false"/>
        <w:widowControl w:val="false"/>
        <w:tabs>
          <w:tab w:val="clear" w:pos="709"/>
          <w:tab w:val="left" w:pos="567" w:leader="none"/>
        </w:tabs>
        <w:spacing w:before="0" w:after="0"/>
        <w:ind w:firstLine="708"/>
        <w:jc w:val="both"/>
        <w:rPr>
          <w:highlight w:val="none"/>
          <w:shd w:fill="auto" w:val="clear"/>
        </w:rPr>
      </w:pPr>
      <w:r>
        <w:rPr>
          <w:sz w:val="24"/>
          <w:szCs w:val="24"/>
          <w:shd w:fill="auto" w:val="clear"/>
          <w:lang w:val="ru-RU" w:eastAsia="en-US"/>
        </w:rPr>
        <w:t>«Субподрядчик»</w:t>
      </w:r>
      <w:r>
        <w:rPr>
          <w:b w:val="false"/>
          <w:sz w:val="24"/>
          <w:szCs w:val="24"/>
          <w:shd w:fill="auto" w:val="clear"/>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Normal"/>
        <w:tabs>
          <w:tab w:val="clear" w:pos="709"/>
          <w:tab w:val="left" w:pos="567" w:leader="none"/>
          <w:tab w:val="left" w:pos="851" w:leader="none"/>
          <w:tab w:val="left" w:pos="1134" w:leader="none"/>
        </w:tabs>
        <w:spacing w:lineRule="auto" w:line="240"/>
        <w:rPr>
          <w:highlight w:val="none"/>
          <w:shd w:fill="auto" w:val="clear"/>
        </w:rPr>
      </w:pPr>
      <w:r>
        <w:rPr>
          <w:b/>
          <w:bCs/>
          <w:sz w:val="24"/>
          <w:shd w:fill="auto" w:val="clear"/>
        </w:rPr>
        <w:t>«Универсальный передаточный документ (УПД)»</w:t>
      </w:r>
      <w:r>
        <w:rPr>
          <w:sz w:val="24"/>
          <w:shd w:fill="auto" w:val="clear"/>
        </w:rPr>
        <w:t xml:space="preserve"> – бухгалтерский инструмент, который используют для учёта финансово-хозяйственной деятельности. Служит подтверждением расходов и вычетов по НДС для товаров и услуг. Объединяет функции счёта-фактуры и первичных документов, связанных с конкретной сделкой. В зависимости от ситуации и способа заполнения, он может быть и счётом-фактурой, и накладной одновременно, либо просто выполнять функцию накладной. Обновлённая форма утверждена Приказом ФНС России №ЕД-7-26/1032@ от 15 ноября 2024 года.</w:t>
      </w:r>
    </w:p>
    <w:p>
      <w:pPr>
        <w:pStyle w:val="Heading3"/>
        <w:keepNext w:val="false"/>
        <w:widowControl w:val="false"/>
        <w:tabs>
          <w:tab w:val="clear" w:pos="709"/>
          <w:tab w:val="left" w:pos="567" w:leader="none"/>
        </w:tabs>
        <w:spacing w:before="0" w:after="0"/>
        <w:ind w:firstLine="708"/>
        <w:jc w:val="both"/>
        <w:rPr>
          <w:highlight w:val="none"/>
          <w:shd w:fill="auto" w:val="clear"/>
        </w:rPr>
      </w:pPr>
      <w:r>
        <w:rPr>
          <w:sz w:val="24"/>
          <w:szCs w:val="24"/>
          <w:shd w:fill="auto" w:val="clear"/>
          <w:lang w:val="ru-RU" w:eastAsia="en-US"/>
        </w:rPr>
        <w:t>«Цена Договора предельная»</w:t>
      </w:r>
      <w:r>
        <w:rPr>
          <w:b w:val="false"/>
          <w:sz w:val="24"/>
          <w:szCs w:val="24"/>
          <w:shd w:fill="auto" w:val="clear"/>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shd w:fill="auto" w:val="clear"/>
        </w:rPr>
        <w:t xml:space="preserve"> </w:t>
      </w:r>
      <w:r>
        <w:rPr>
          <w:b w:val="false"/>
          <w:sz w:val="24"/>
          <w:szCs w:val="24"/>
          <w:shd w:fill="auto" w:val="clear"/>
          <w:lang w:val="ru-RU" w:eastAsia="en-US"/>
        </w:rPr>
        <w:t xml:space="preserve">на весь период действия Договора. </w:t>
      </w:r>
    </w:p>
    <w:p>
      <w:pPr>
        <w:pStyle w:val="Normal"/>
        <w:spacing w:lineRule="auto" w:line="240"/>
        <w:rPr>
          <w:sz w:val="24"/>
          <w:szCs w:val="24"/>
          <w:highlight w:val="none"/>
          <w:shd w:fill="auto" w:val="clear"/>
        </w:rPr>
      </w:pPr>
      <w:r>
        <w:rPr>
          <w:sz w:val="24"/>
          <w:szCs w:val="24"/>
          <w:shd w:fill="auto" w:val="clear"/>
        </w:rPr>
      </w:r>
    </w:p>
    <w:p>
      <w:pPr>
        <w:pStyle w:val="ListParagraph"/>
        <w:numPr>
          <w:ilvl w:val="0"/>
          <w:numId w:val="3"/>
        </w:numPr>
        <w:shd w:val="clear" w:color="auto" w:fill="FFFFFF"/>
        <w:tabs>
          <w:tab w:val="clear" w:pos="709"/>
          <w:tab w:val="left" w:pos="284" w:leader="none"/>
        </w:tabs>
        <w:ind w:left="0" w:hanging="0"/>
        <w:jc w:val="center"/>
        <w:rPr>
          <w:highlight w:val="none"/>
          <w:shd w:fill="auto" w:val="clear"/>
        </w:rPr>
      </w:pPr>
      <w:r>
        <w:rPr>
          <w:b/>
          <w:bCs/>
          <w:shd w:fill="auto" w:val="clear"/>
        </w:rPr>
        <w:t>Предмет Договора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1" w:name="_Ref361410951"/>
      <w:r>
        <w:rPr>
          <w:bCs/>
          <w:shd w:fill="auto" w:val="clear"/>
        </w:rPr>
        <w:t>Подрядчик обязуется в соответствии с Техническим заданием (Приложение № 1 к Договору) выполнить работы по м</w:t>
      </w:r>
      <w:r>
        <w:rPr>
          <w:rFonts w:eastAsia="Times New Roman" w:cs="Times New Roman"/>
          <w:sz w:val="24"/>
          <w:szCs w:val="24"/>
          <w:shd w:fill="auto" w:val="clear"/>
        </w:rPr>
        <w:t xml:space="preserve">одернизации деаэраторов атмосферных ДА 200/75 подпитки котла  Николаевская ТЭЦ </w:t>
      </w:r>
      <w:r>
        <w:rPr>
          <w:bCs/>
          <w:i w:val="false"/>
          <w:iCs w:val="false"/>
          <w:shd w:fill="auto" w:val="clear"/>
        </w:rPr>
        <w:t>(</w:t>
      </w:r>
      <w:r>
        <w:rPr>
          <w:bCs/>
          <w:shd w:fill="auto" w:val="clear"/>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Объем и состав Работ по Договору определяется Ведомостью объемов работ (Приложение №1.1 к Договору). Работы по Договору подлежат выполнению Подрядчиком в строгом соответствии </w:t>
      </w:r>
      <w:r>
        <w:rPr>
          <w:rFonts w:eastAsia="Times New Roman" w:cs="Times New Roman"/>
          <w:sz w:val="24"/>
          <w:shd w:fill="auto" w:val="clear"/>
        </w:rPr>
        <w:t>с Техническим заданием, требованиями технической и иной документацией, переданной Заказчиком по Акту сдачи-приемки технической и иной документации</w:t>
      </w:r>
      <w:r>
        <w:rPr>
          <w:bCs/>
          <w:shd w:fill="auto" w:val="clear"/>
        </w:rPr>
        <w:t xml:space="preserve"> требованиями Применимого права и указаниями Заказчика.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Место выполнения Работ: </w:t>
      </w:r>
      <w:r>
        <w:rPr>
          <w:rFonts w:eastAsia="Times New Roman" w:cs="Times New Roman"/>
          <w:sz w:val="24"/>
          <w:szCs w:val="24"/>
          <w:shd w:fill="auto" w:val="clear"/>
        </w:rPr>
        <w:t xml:space="preserve"> Хабаровский край г. Николаевск на Амуре, ул. Невельского, 24.</w:t>
      </w:r>
      <w:r>
        <w:rPr>
          <w:rFonts w:eastAsia="Times New Roman" w:cs="Times New Roman"/>
          <w:sz w:val="24"/>
          <w:szCs w:val="24"/>
          <w:shd w:fill="auto" w:val="clear"/>
        </w:rPr>
        <w:t xml:space="preserve"> </w:t>
      </w:r>
      <w:r>
        <w:rPr>
          <w:rFonts w:eastAsia="Times New Roman" w:cs="Times New Roman"/>
          <w:sz w:val="24"/>
          <w:szCs w:val="24"/>
          <w:shd w:fill="auto" w:val="clear"/>
        </w:rPr>
        <w:t>СП Николаевская ТЭЦ</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2" w:name="_Ref361320424"/>
      <w:r>
        <w:rPr>
          <w:bCs/>
          <w:shd w:fill="auto" w:val="clear"/>
        </w:rPr>
        <w:t>Работы выполняются Подрядчиком в следующие сроки:</w:t>
      </w:r>
      <w:bookmarkEnd w:id="2"/>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 xml:space="preserve">начало выполнения Работ: </w:t>
      </w:r>
      <w:r>
        <w:rPr>
          <w:shd w:fill="auto" w:val="clear"/>
        </w:rPr>
        <w:t xml:space="preserve"> с даты, следующей за датой заключения Договора;</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окончание выполнения Работ: В течение 190 календарных дней с даты начала выполнения работ указанных в п.1.4.1.</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rFonts w:eastAsia="Times New Roman" w:cs="Times New Roman"/>
          <w:sz w:val="24"/>
          <w:shd w:fill="auto" w:val="clear"/>
        </w:rPr>
        <w:t xml:space="preserve">Выполнение Работ осуществляется согласно Графику выполнения и финансирования Работ, поставки Материалов (Приложение № 3 к Договору) в рамках общих сроков, указанных в пункте 1.4.1, 1.4.2 Договора. </w:t>
      </w:r>
    </w:p>
    <w:p>
      <w:pPr>
        <w:pStyle w:val="ListParagraph"/>
        <w:numPr>
          <w:ilvl w:val="0"/>
          <w:numId w:val="0"/>
        </w:numPr>
        <w:shd w:val="clear" w:color="auto" w:fill="FFFFFF"/>
        <w:tabs>
          <w:tab w:val="clear" w:pos="709"/>
          <w:tab w:val="left" w:pos="1134" w:leader="none"/>
        </w:tabs>
        <w:ind w:left="0" w:hanging="0"/>
        <w:jc w:val="both"/>
        <w:rPr>
          <w:highlight w:val="none"/>
          <w:shd w:fill="auto" w:val="clear"/>
        </w:rPr>
      </w:pPr>
      <w:r>
        <w:rPr>
          <w:shd w:fill="auto" w:val="clear"/>
        </w:rPr>
      </w:r>
    </w:p>
    <w:p>
      <w:pPr>
        <w:pStyle w:val="Normal"/>
        <w:widowControl w:val="false"/>
        <w:shd w:val="clear" w:color="auto" w:fill="FFFFFF"/>
        <w:spacing w:lineRule="auto" w:line="240"/>
        <w:ind w:left="567" w:hanging="0"/>
        <w:rPr>
          <w:sz w:val="24"/>
          <w:szCs w:val="24"/>
          <w:highlight w:val="none"/>
          <w:shd w:fill="auto" w:val="clear"/>
        </w:rPr>
      </w:pPr>
      <w:r>
        <w:rPr>
          <w:sz w:val="24"/>
          <w:szCs w:val="24"/>
          <w:shd w:fill="auto" w:val="clear"/>
        </w:rPr>
      </w:r>
    </w:p>
    <w:p>
      <w:pPr>
        <w:pStyle w:val="ListParagraph"/>
        <w:numPr>
          <w:ilvl w:val="0"/>
          <w:numId w:val="3"/>
        </w:numPr>
        <w:shd w:val="clear" w:color="auto" w:fill="FFFFFF"/>
        <w:tabs>
          <w:tab w:val="clear" w:pos="709"/>
          <w:tab w:val="left" w:pos="284" w:leader="none"/>
        </w:tabs>
        <w:ind w:left="0" w:hanging="0"/>
        <w:jc w:val="center"/>
        <w:rPr>
          <w:highlight w:val="none"/>
          <w:shd w:fill="auto" w:val="clear"/>
        </w:rPr>
      </w:pPr>
      <w:r>
        <w:rPr>
          <w:b/>
          <w:bCs/>
          <w:shd w:fill="auto" w:val="clear"/>
        </w:rPr>
        <w:t xml:space="preserve">Права и обязанности Сторон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u w:val="single"/>
          <w:shd w:fill="auto" w:val="clear"/>
        </w:rPr>
        <w:t>Заказчик обязан</w:t>
      </w:r>
      <w:r>
        <w:rPr>
          <w:bCs/>
          <w:shd w:fill="auto" w:val="clear"/>
        </w:rPr>
        <w:t>:</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w:t>
      </w:r>
      <w:r>
        <w:rPr>
          <w:bCs/>
          <w:sz w:val="24"/>
          <w:szCs w:val="24"/>
          <w:shd w:fill="auto" w:val="clear"/>
        </w:rPr>
        <w:t xml:space="preserve">осов, связанных с выполнением Работ. </w:t>
      </w:r>
    </w:p>
    <w:p>
      <w:pPr>
        <w:pStyle w:val="ListParagraph"/>
        <w:numPr>
          <w:ilvl w:val="2"/>
          <w:numId w:val="3"/>
        </w:numPr>
        <w:shd w:val="clear" w:color="auto" w:fill="FFFFFF"/>
        <w:tabs>
          <w:tab w:val="clear" w:pos="709"/>
          <w:tab w:val="left" w:pos="1418" w:leader="none"/>
        </w:tabs>
        <w:ind w:left="0" w:firstLine="709"/>
        <w:jc w:val="both"/>
        <w:rPr>
          <w:rFonts w:ascii="Times New Roman" w:hAnsi="Times New Roman"/>
          <w:sz w:val="24"/>
          <w:szCs w:val="24"/>
        </w:rPr>
      </w:pPr>
      <w:r>
        <w:rPr>
          <w:bCs/>
          <w:sz w:val="24"/>
          <w:szCs w:val="24"/>
          <w:shd w:fill="auto" w:val="clear"/>
        </w:rPr>
        <w:t>В течение 3 (трех) рабочих дней с даты получения соответствующего письменного запроса Подрядчика, передать (предоставить) последнему:</w:t>
      </w:r>
    </w:p>
    <w:p>
      <w:pPr>
        <w:pStyle w:val="ListParagraph"/>
        <w:numPr>
          <w:ilvl w:val="0"/>
          <w:numId w:val="7"/>
        </w:numPr>
        <w:shd w:val="clear" w:color="auto" w:fill="FFFFFF"/>
        <w:tabs>
          <w:tab w:val="left" w:pos="709" w:leader="none"/>
          <w:tab w:val="left" w:pos="1418" w:leader="none"/>
        </w:tabs>
        <w:ind w:left="0" w:firstLine="709"/>
        <w:jc w:val="both"/>
        <w:rPr>
          <w:rFonts w:ascii="Times New Roman" w:hAnsi="Times New Roman"/>
          <w:sz w:val="24"/>
          <w:szCs w:val="24"/>
        </w:rPr>
      </w:pPr>
      <w:r>
        <w:rPr>
          <w:sz w:val="24"/>
          <w:szCs w:val="24"/>
          <w:shd w:fill="auto" w:val="clear"/>
        </w:rPr>
        <w:t xml:space="preserve">место производства Работ, место (помещение) для складирования </w:t>
      </w:r>
      <w:r>
        <w:rPr>
          <w:bCs/>
          <w:sz w:val="24"/>
          <w:szCs w:val="24"/>
          <w:shd w:fill="auto" w:val="clear"/>
        </w:rPr>
        <w:t xml:space="preserve">Материально-технических ресурсов и оборудования, Оборудования Заказчика </w:t>
      </w:r>
      <w:r>
        <w:rPr>
          <w:sz w:val="24"/>
          <w:szCs w:val="24"/>
          <w:shd w:fill="auto" w:val="clear"/>
        </w:rPr>
        <w:t>по соответствующим актам сдачи-приемки (Приложение № 4.1 к Договору);</w:t>
      </w:r>
    </w:p>
    <w:p>
      <w:pPr>
        <w:pStyle w:val="ListParagraph"/>
        <w:numPr>
          <w:ilvl w:val="0"/>
          <w:numId w:val="7"/>
        </w:numPr>
        <w:shd w:val="clear" w:color="auto" w:fill="FFFFFF"/>
        <w:tabs>
          <w:tab w:val="left" w:pos="709" w:leader="none"/>
          <w:tab w:val="left" w:pos="1418" w:leader="none"/>
        </w:tabs>
        <w:ind w:left="0" w:firstLine="709"/>
        <w:jc w:val="both"/>
        <w:rPr>
          <w:rFonts w:ascii="Times New Roman" w:hAnsi="Times New Roman"/>
          <w:sz w:val="24"/>
          <w:szCs w:val="24"/>
        </w:rPr>
      </w:pPr>
      <w:r>
        <w:rPr>
          <w:bCs/>
          <w:sz w:val="24"/>
          <w:szCs w:val="24"/>
          <w:shd w:fill="auto" w:val="clear"/>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Pr>
          <w:sz w:val="24"/>
          <w:szCs w:val="24"/>
          <w:shd w:fill="auto" w:val="clear"/>
        </w:rPr>
        <w:t xml:space="preserve"> </w:t>
      </w:r>
    </w:p>
    <w:p>
      <w:pPr>
        <w:pStyle w:val="PlainText"/>
        <w:numPr>
          <w:ilvl w:val="2"/>
          <w:numId w:val="3"/>
        </w:numPr>
        <w:ind w:left="0" w:firstLine="709"/>
        <w:jc w:val="both"/>
        <w:rPr>
          <w:rFonts w:ascii="Times New Roman" w:hAnsi="Times New Roman"/>
          <w:sz w:val="24"/>
          <w:szCs w:val="24"/>
        </w:rPr>
      </w:pPr>
      <w:r>
        <w:rPr>
          <w:rFonts w:cs="Times New Roman" w:ascii="Times New Roman" w:hAnsi="Times New Roman"/>
          <w:sz w:val="24"/>
          <w:szCs w:val="24"/>
          <w:shd w:fill="auto" w:val="clear"/>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p>
    <w:p>
      <w:pPr>
        <w:pStyle w:val="ListParagraph"/>
        <w:numPr>
          <w:ilvl w:val="2"/>
          <w:numId w:val="3"/>
        </w:numPr>
        <w:shd w:val="clear" w:color="auto" w:fill="FFFFFF"/>
        <w:tabs>
          <w:tab w:val="clear" w:pos="709"/>
          <w:tab w:val="left" w:pos="1418" w:leader="none"/>
        </w:tabs>
        <w:ind w:left="0" w:firstLine="709"/>
        <w:jc w:val="both"/>
        <w:rPr>
          <w:rFonts w:ascii="Times New Roman" w:hAnsi="Times New Roman"/>
          <w:sz w:val="24"/>
          <w:szCs w:val="24"/>
        </w:rPr>
      </w:pPr>
      <w:r>
        <w:rPr>
          <w:bCs/>
          <w:sz w:val="24"/>
          <w:szCs w:val="24"/>
          <w:shd w:fill="auto" w:val="clear"/>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3"/>
        </w:numPr>
        <w:shd w:val="clear" w:color="auto" w:fill="FFFFFF"/>
        <w:tabs>
          <w:tab w:val="clear" w:pos="709"/>
          <w:tab w:val="left" w:pos="0" w:leader="none"/>
          <w:tab w:val="left" w:pos="1134" w:leader="none"/>
          <w:tab w:val="left" w:pos="1276" w:leader="none"/>
          <w:tab w:val="left" w:pos="1418" w:leader="none"/>
        </w:tabs>
        <w:spacing w:lineRule="auto" w:line="276"/>
        <w:ind w:left="-142" w:firstLine="709"/>
        <w:jc w:val="both"/>
        <w:rPr>
          <w:rFonts w:ascii="Times New Roman" w:hAnsi="Times New Roman"/>
          <w:sz w:val="24"/>
          <w:szCs w:val="24"/>
        </w:rPr>
      </w:pPr>
      <w:r>
        <w:rPr>
          <w:sz w:val="24"/>
          <w:szCs w:val="24"/>
          <w:shd w:fill="auto" w:val="clear"/>
        </w:rPr>
        <w:t>Предоставить Подрядчику в порядке, установленном Приложением № 6 к Договору, необходимые Давальческие материалы и запасные части, перечень которых указан в Приложении № 1.2 к Договору.</w:t>
      </w:r>
    </w:p>
    <w:p>
      <w:pPr>
        <w:pStyle w:val="ListParagraph"/>
        <w:numPr>
          <w:ilvl w:val="2"/>
          <w:numId w:val="3"/>
        </w:numPr>
        <w:shd w:val="clear" w:color="auto" w:fill="FFFFFF"/>
        <w:tabs>
          <w:tab w:val="left" w:pos="709" w:leader="none"/>
        </w:tabs>
        <w:ind w:left="0" w:firstLine="709"/>
        <w:jc w:val="both"/>
        <w:rPr>
          <w:rFonts w:ascii="Times New Roman" w:hAnsi="Times New Roman"/>
          <w:sz w:val="24"/>
          <w:szCs w:val="24"/>
        </w:rPr>
      </w:pPr>
      <w:r>
        <w:rPr>
          <w:bCs/>
          <w:sz w:val="24"/>
          <w:szCs w:val="24"/>
          <w:shd w:fill="auto" w:val="clear"/>
        </w:rPr>
        <w:t>Принять и оплатить выполненные Подрядчиком Работы на условиях, по цене и в сроки, предусмотренные Договором.</w:t>
      </w:r>
    </w:p>
    <w:p>
      <w:pPr>
        <w:pStyle w:val="ListParagraph"/>
        <w:numPr>
          <w:ilvl w:val="2"/>
          <w:numId w:val="3"/>
        </w:numPr>
        <w:tabs>
          <w:tab w:val="left" w:pos="709" w:leader="none"/>
        </w:tabs>
        <w:ind w:left="0" w:firstLine="709"/>
        <w:jc w:val="both"/>
        <w:rPr>
          <w:rFonts w:ascii="Times New Roman" w:hAnsi="Times New Roman"/>
          <w:sz w:val="24"/>
          <w:szCs w:val="24"/>
        </w:rPr>
      </w:pPr>
      <w:r>
        <w:rPr>
          <w:bCs/>
          <w:sz w:val="24"/>
          <w:szCs w:val="24"/>
          <w:shd w:fill="auto" w:val="clear"/>
        </w:rPr>
        <w:t>Производить освидетельствование (приемку) Скрытых работ.</w:t>
      </w:r>
    </w:p>
    <w:p>
      <w:pPr>
        <w:pStyle w:val="ListParagraph"/>
        <w:numPr>
          <w:ilvl w:val="2"/>
          <w:numId w:val="3"/>
        </w:numPr>
        <w:shd w:val="clear" w:color="auto" w:fill="FFFFFF"/>
        <w:tabs>
          <w:tab w:val="left" w:pos="709" w:leader="none"/>
        </w:tabs>
        <w:ind w:left="0" w:firstLine="709"/>
        <w:jc w:val="both"/>
        <w:rPr>
          <w:rFonts w:ascii="Times New Roman" w:hAnsi="Times New Roman"/>
          <w:sz w:val="24"/>
          <w:szCs w:val="24"/>
        </w:rPr>
      </w:pPr>
      <w:r>
        <w:rPr>
          <w:bCs/>
          <w:sz w:val="24"/>
          <w:szCs w:val="24"/>
          <w:shd w:fill="auto" w:val="clear"/>
        </w:rPr>
        <w:t>Выполнять иные обязанности, предусмотренные Договором.</w:t>
      </w:r>
    </w:p>
    <w:p>
      <w:pPr>
        <w:pStyle w:val="Normal"/>
        <w:tabs>
          <w:tab w:val="left" w:pos="709" w:leader="none"/>
        </w:tabs>
        <w:spacing w:lineRule="auto" w:line="240"/>
        <w:ind w:hanging="0"/>
        <w:rPr>
          <w:b/>
          <w:sz w:val="24"/>
          <w:szCs w:val="24"/>
          <w:highlight w:val="none"/>
          <w:shd w:fill="auto" w:val="clear"/>
        </w:rPr>
      </w:pPr>
      <w:r>
        <w:rPr>
          <w:b/>
          <w:sz w:val="24"/>
          <w:szCs w:val="24"/>
          <w:shd w:fill="auto" w:val="clear"/>
        </w:rPr>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u w:val="single"/>
          <w:shd w:fill="auto" w:val="clear"/>
        </w:rPr>
        <w:t>Заказчик имеет право</w:t>
      </w:r>
      <w:r>
        <w:rPr>
          <w:bCs/>
          <w:shd w:fill="auto" w:val="clear"/>
        </w:rPr>
        <w:t>:</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3"/>
        </w:numPr>
        <w:shd w:val="clear" w:color="auto" w:fill="FFFFFF"/>
        <w:tabs>
          <w:tab w:val="clear" w:pos="709"/>
          <w:tab w:val="left" w:pos="1418" w:leader="none"/>
        </w:tabs>
        <w:spacing w:lineRule="auto" w:line="240"/>
        <w:ind w:left="-142" w:firstLine="709"/>
        <w:jc w:val="both"/>
        <w:rPr>
          <w:highlight w:val="none"/>
          <w:shd w:fill="auto" w:val="clear"/>
        </w:rPr>
      </w:pPr>
      <w:r>
        <w:rPr>
          <w:bCs/>
          <w:shd w:fill="auto" w:val="clear"/>
        </w:rPr>
        <w:t xml:space="preserve">Круглосуточно осуществлять доступ к месту производства Работ, месту (помещению) для складирования Материально-технических ресурсов, Давальческих материалов и запасных частей Заказчика. В случае предоставления Подрядчику отдельного помещения для складирования Материально-технических ресурсов, Давальческих материалов и запасных частей </w:t>
      </w:r>
      <w:r>
        <w:rPr>
          <w:shd w:fill="auto" w:val="clear"/>
        </w:rPr>
        <w:t>Заказчика</w:t>
      </w:r>
      <w:r>
        <w:rPr>
          <w:bCs/>
          <w:shd w:fill="auto" w:val="clear"/>
        </w:rPr>
        <w:t xml:space="preserve">, осуществлять осмотр такого помещения по первому требованию и в присутствии представителя Подрядчика.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bookmarkStart w:id="3" w:name="_Ref361334652"/>
      <w:r>
        <w:rPr>
          <w:bCs/>
          <w:shd w:fill="auto" w:val="clea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3"/>
      <w:r>
        <w:rPr>
          <w:bCs/>
          <w:shd w:fill="auto" w:val="clear"/>
        </w:rPr>
        <w:t xml:space="preserve">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bookmarkStart w:id="4" w:name="_Ref361334468"/>
      <w:r>
        <w:rPr>
          <w:bCs/>
          <w:shd w:fill="auto" w:val="clear"/>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4"/>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bookmarkStart w:id="5" w:name="_Ref361319348"/>
      <w:r>
        <w:rPr>
          <w:bCs/>
          <w:shd w:fill="auto" w:val="clear"/>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5"/>
      <w:r>
        <w:rPr>
          <w:bCs/>
          <w:shd w:fill="auto" w:val="clear"/>
        </w:rPr>
        <w:t xml:space="preserve">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3"/>
        </w:numPr>
        <w:shd w:val="clear" w:color="auto" w:fill="FFFFFF"/>
        <w:tabs>
          <w:tab w:val="clear" w:pos="709"/>
          <w:tab w:val="left" w:pos="567" w:leader="none"/>
          <w:tab w:val="left" w:pos="1418" w:leader="none"/>
        </w:tabs>
        <w:ind w:left="0" w:firstLine="709"/>
        <w:jc w:val="both"/>
        <w:rPr>
          <w:highlight w:val="none"/>
          <w:shd w:fill="auto" w:val="clear"/>
        </w:rPr>
      </w:pPr>
      <w:r>
        <w:rPr>
          <w:bCs/>
          <w:shd w:fill="auto" w:val="clear"/>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9"/>
          <w:tab w:val="left" w:pos="567" w:leader="none"/>
          <w:tab w:val="left" w:pos="1418" w:leader="none"/>
        </w:tabs>
        <w:ind w:left="0" w:firstLine="709"/>
        <w:jc w:val="both"/>
        <w:rPr>
          <w:highlight w:val="none"/>
          <w:shd w:fill="auto" w:val="clear"/>
        </w:rPr>
      </w:pPr>
      <w:r>
        <w:rPr>
          <w:bCs/>
          <w:shd w:fill="auto" w:val="clear"/>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shd w:val="clear" w:color="auto" w:fill="FFFFFF"/>
        <w:tabs>
          <w:tab w:val="clear" w:pos="709"/>
          <w:tab w:val="left" w:pos="567" w:leader="none"/>
        </w:tabs>
        <w:ind w:left="0" w:firstLine="567"/>
        <w:jc w:val="both"/>
        <w:rPr>
          <w:bCs/>
          <w:color w:val="FF0000"/>
          <w:highlight w:val="none"/>
          <w:shd w:fill="auto" w:val="clear"/>
        </w:rPr>
      </w:pPr>
      <w:r>
        <w:rPr>
          <w:bCs/>
          <w:color w:val="FF0000"/>
          <w:shd w:fill="auto" w:val="clear"/>
        </w:rPr>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u w:val="single"/>
          <w:shd w:fill="auto" w:val="clear"/>
        </w:rPr>
        <w:t>Подрядчик обязан</w:t>
      </w:r>
      <w:r>
        <w:rPr>
          <w:bCs/>
          <w:shd w:fill="auto" w:val="clear"/>
        </w:rPr>
        <w:t>:</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Выполнить Работы в объеме, сроки и с качеством, соответствующим требованиям Договора и Применимого права</w:t>
      </w:r>
      <w:r>
        <w:rPr>
          <w:shd w:fill="auto" w:val="clear"/>
        </w:rPr>
        <w:t xml:space="preserve"> </w:t>
      </w:r>
      <w:r>
        <w:rPr>
          <w:bCs/>
          <w:shd w:fill="auto" w:val="clear"/>
        </w:rPr>
        <w:t>и сдать их результат Заказчику.</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 xml:space="preserve">В срок, указанный в пункте 2.1.2 Договора, принять от Заказчика на время выполнения Работ по Договору: </w:t>
      </w:r>
    </w:p>
    <w:p>
      <w:pPr>
        <w:pStyle w:val="ListParagraph"/>
        <w:numPr>
          <w:ilvl w:val="0"/>
          <w:numId w:val="17"/>
        </w:numPr>
        <w:shd w:val="clear" w:color="auto" w:fill="FFFFFF"/>
        <w:tabs>
          <w:tab w:val="clear" w:pos="709"/>
          <w:tab w:val="left" w:pos="1418" w:leader="none"/>
        </w:tabs>
        <w:ind w:left="0" w:firstLine="709"/>
        <w:jc w:val="both"/>
        <w:rPr>
          <w:highlight w:val="none"/>
          <w:shd w:fill="auto" w:val="clear"/>
        </w:rPr>
      </w:pPr>
      <w:r>
        <w:rPr>
          <w:bCs/>
          <w:shd w:fill="auto" w:val="clear"/>
        </w:rPr>
        <w:t>место производства Работ,</w:t>
      </w:r>
      <w:r>
        <w:rPr>
          <w:bCs/>
          <w:color w:val="FF0000"/>
          <w:shd w:fill="auto" w:val="clear"/>
        </w:rPr>
        <w:t xml:space="preserve"> </w:t>
      </w:r>
      <w:r>
        <w:rPr>
          <w:bCs/>
          <w:shd w:fill="auto" w:val="clear"/>
        </w:rPr>
        <w:t>место (помещение) для складирования Материально-технических ресурсов и оборудования, Давальческих материалов и запасных частей и Оборудования Заказчика по соответствующим актам сдачи-приемки (Приложение № 4.1 к Договору);</w:t>
      </w:r>
    </w:p>
    <w:p>
      <w:pPr>
        <w:pStyle w:val="ListParagraph"/>
        <w:numPr>
          <w:ilvl w:val="0"/>
          <w:numId w:val="17"/>
        </w:numPr>
        <w:shd w:val="clear" w:color="auto" w:fill="FFFFFF"/>
        <w:tabs>
          <w:tab w:val="clear" w:pos="709"/>
          <w:tab w:val="left" w:pos="1418" w:leader="none"/>
        </w:tabs>
        <w:ind w:left="0" w:firstLine="709"/>
        <w:jc w:val="both"/>
        <w:rPr>
          <w:highlight w:val="none"/>
          <w:shd w:fill="auto" w:val="clear"/>
        </w:rPr>
      </w:pPr>
      <w:r>
        <w:rPr>
          <w:bCs/>
          <w:shd w:fill="auto" w:val="clear"/>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При приемке места производства Работ, места (помещения) для складирования Материально-технических ресурсов и оборудования, , а также оборудования и инструмента,</w:t>
      </w:r>
      <w:r>
        <w:rPr>
          <w:shd w:fill="auto" w:val="clear"/>
        </w:rPr>
        <w:t xml:space="preserve"> которые не будут являться составной частью Результата Работ,</w:t>
      </w:r>
      <w:r>
        <w:rPr>
          <w:bCs/>
          <w:shd w:fill="auto" w:val="clear"/>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или достижение Объектом Гарантированных показателей. </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 w:val="false"/>
          <w:bCs w:val="false"/>
          <w:shd w:fill="auto" w:val="clear"/>
        </w:rPr>
        <w:t>В</w:t>
      </w:r>
      <w:r>
        <w:rPr>
          <w:b w:val="false"/>
          <w:bCs w:val="false"/>
          <w:color w:val="000000" w:themeColor="text1"/>
          <w:shd w:fill="auto" w:val="clear"/>
        </w:rPr>
        <w:t>ыдать</w:t>
      </w:r>
      <w:r>
        <w:rPr>
          <w:bCs/>
          <w:shd w:fill="auto" w:val="clear"/>
        </w:rPr>
        <w:t xml:space="preserve">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До  начала выполнения Работ предоставить Заказчику:</w:t>
      </w:r>
    </w:p>
    <w:p>
      <w:pPr>
        <w:pStyle w:val="ListParagraph"/>
        <w:numPr>
          <w:ilvl w:val="0"/>
          <w:numId w:val="13"/>
        </w:numPr>
        <w:shd w:val="clear" w:color="auto" w:fill="FFFFFF"/>
        <w:tabs>
          <w:tab w:val="clear" w:pos="709"/>
          <w:tab w:val="left" w:pos="1418" w:leader="none"/>
        </w:tabs>
        <w:ind w:left="0" w:firstLine="709"/>
        <w:jc w:val="both"/>
        <w:rPr>
          <w:highlight w:val="none"/>
          <w:shd w:fill="auto" w:val="clear"/>
        </w:rPr>
      </w:pPr>
      <w:r>
        <w:rPr>
          <w:bCs/>
          <w:shd w:fill="auto" w:val="clear"/>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13"/>
        </w:numPr>
        <w:shd w:val="clear" w:color="auto" w:fill="FFFFFF"/>
        <w:tabs>
          <w:tab w:val="left" w:pos="709" w:leader="none"/>
        </w:tabs>
        <w:ind w:left="0" w:firstLine="709"/>
        <w:jc w:val="both"/>
        <w:rPr>
          <w:highlight w:val="none"/>
          <w:shd w:fill="auto" w:val="clear"/>
        </w:rPr>
      </w:pPr>
      <w:r>
        <w:rPr>
          <w:bCs/>
          <w:shd w:fill="auto" w:val="clear"/>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3"/>
        </w:numPr>
        <w:shd w:val="clear" w:color="auto" w:fill="FFFFFF"/>
        <w:tabs>
          <w:tab w:val="left" w:pos="709" w:leader="none"/>
        </w:tabs>
        <w:ind w:left="0" w:firstLine="709"/>
        <w:jc w:val="both"/>
        <w:rPr>
          <w:highlight w:val="none"/>
          <w:shd w:fill="auto" w:val="clear"/>
        </w:rPr>
      </w:pPr>
      <w:r>
        <w:rPr>
          <w:bCs/>
          <w:shd w:fill="auto" w:val="clear"/>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shd w:fill="auto" w:val="clear"/>
        </w:rPr>
        <w:t>соответствующим актам сдачи-приемки (Приложение № 4.2 к Договору) в соответствии с пунктами 2.1.2 и 2.1.3 Договора.</w:t>
      </w:r>
    </w:p>
    <w:p>
      <w:pPr>
        <w:pStyle w:val="ListParagraph"/>
        <w:numPr>
          <w:ilvl w:val="0"/>
          <w:numId w:val="0"/>
        </w:numPr>
        <w:shd w:val="clear" w:color="auto" w:fill="FFFFFF"/>
        <w:tabs>
          <w:tab w:val="left" w:pos="709" w:leader="none"/>
        </w:tabs>
        <w:ind w:left="0" w:hanging="0"/>
        <w:jc w:val="both"/>
        <w:rPr>
          <w:highlight w:val="none"/>
          <w:shd w:fill="auto" w:val="clear"/>
        </w:rPr>
      </w:pPr>
      <w:r>
        <w:rPr>
          <w:bCs/>
          <w:shd w:fill="auto" w:val="clear"/>
        </w:rPr>
        <w:t xml:space="preserve">          </w:t>
      </w:r>
      <w:r>
        <w:rPr>
          <w:bCs/>
          <w:shd w:fill="auto" w:val="clear"/>
        </w:rPr>
        <w:t>В течение 5 (пяти) календарных дней с даты заключения Договора на согласование Проект Производства Работ (ППР) с указанием общих методов и технологии работ, организационных вопросов с приложением графика производства работ (с указанием физических объёмов, потребных трудозатрат и материалов).</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1.4.2 Договора, либо, в случаях прекращения (расторжения) Договора, указанных в пункте 2.2.3 и разделе 16 Договора, – не позднее 3 (трех) рабочих дней с даты получения соответствующего требования Заказчика.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Обеспечить наличие допусков, разрешений и лицензий, необходимых для производства Работ.</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Подрядчик обязан незамедлительно, но в любом случае не позднее рабочего дня, следующего за днем наступления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shd w:fill="auto" w:val="clear"/>
        </w:rPr>
        <w:t>, в том числе указанных в Приложении № 5 к Договору</w:t>
      </w:r>
      <w:r>
        <w:rPr>
          <w:shd w:fill="auto" w:val="clea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13.1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Обеспечить:</w:t>
      </w:r>
    </w:p>
    <w:p>
      <w:pPr>
        <w:pStyle w:val="ListParagraph"/>
        <w:numPr>
          <w:ilvl w:val="0"/>
          <w:numId w:val="14"/>
        </w:numPr>
        <w:shd w:val="clear" w:color="auto" w:fill="FFFFFF"/>
        <w:tabs>
          <w:tab w:val="clear" w:pos="709"/>
          <w:tab w:val="left" w:pos="567" w:leader="none"/>
        </w:tabs>
        <w:ind w:left="0" w:firstLine="709"/>
        <w:jc w:val="both"/>
        <w:rPr>
          <w:highlight w:val="none"/>
          <w:shd w:fill="auto" w:val="clear"/>
        </w:rPr>
      </w:pPr>
      <w:r>
        <w:rPr>
          <w:bCs/>
          <w:shd w:fill="auto" w:val="clear"/>
        </w:rPr>
        <w:t xml:space="preserve">участие в саморегулируемой организации, основанной на членстве лиц, </w:t>
      </w:r>
      <w:r>
        <w:rPr>
          <w:shd w:fill="auto" w:val="clear"/>
        </w:rPr>
        <w:t>осуществляющих строительство</w:t>
      </w:r>
      <w:r>
        <w:rPr>
          <w:bCs/>
          <w:shd w:fill="auto" w:val="clear"/>
        </w:rPr>
        <w:t xml:space="preserve"> (с учетом исключений, предусмотренных законодательством Российской Федерации);</w:t>
      </w:r>
    </w:p>
    <w:p>
      <w:pPr>
        <w:pStyle w:val="ListParagraph"/>
        <w:numPr>
          <w:ilvl w:val="0"/>
          <w:numId w:val="14"/>
        </w:numPr>
        <w:shd w:val="clear" w:color="auto" w:fill="FFFFFF"/>
        <w:tabs>
          <w:tab w:val="clear" w:pos="709"/>
          <w:tab w:val="left" w:pos="567" w:leader="none"/>
          <w:tab w:val="left" w:pos="1418" w:leader="none"/>
        </w:tabs>
        <w:ind w:left="0" w:firstLine="709"/>
        <w:jc w:val="both"/>
        <w:rPr>
          <w:highlight w:val="none"/>
          <w:shd w:fill="auto" w:val="clear"/>
        </w:rPr>
      </w:pPr>
      <w:r>
        <w:rPr>
          <w:bCs/>
          <w:shd w:fill="auto" w:val="clear"/>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shd w:fill="auto" w:val="clear"/>
        </w:rPr>
        <w:t xml:space="preserve"> </w:t>
      </w:r>
      <w:r>
        <w:rPr>
          <w:bCs/>
          <w:shd w:fill="auto" w:val="clear"/>
        </w:rPr>
        <w:t>стоимости выполнения Работ по Договору;</w:t>
      </w:r>
    </w:p>
    <w:p>
      <w:pPr>
        <w:pStyle w:val="ListParagraph"/>
        <w:numPr>
          <w:ilvl w:val="2"/>
          <w:numId w:val="3"/>
        </w:numPr>
        <w:shd w:val="clear" w:color="auto" w:fill="FFFFFF"/>
        <w:tabs>
          <w:tab w:val="clear" w:pos="709"/>
          <w:tab w:val="left" w:pos="1418" w:leader="none"/>
        </w:tabs>
        <w:ind w:left="0" w:firstLine="710"/>
        <w:jc w:val="both"/>
        <w:rPr>
          <w:highlight w:val="none"/>
          <w:shd w:fill="auto" w:val="clear"/>
        </w:rPr>
      </w:pPr>
      <w:r>
        <w:rPr>
          <w:shd w:fill="auto" w:val="clear"/>
        </w:rPr>
        <w:t>Выполнять</w:t>
      </w:r>
      <w:r>
        <w:rPr>
          <w:bCs/>
          <w:shd w:fill="auto" w:val="clear"/>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0"/>
          <w:numId w:val="19"/>
        </w:numPr>
        <w:tabs>
          <w:tab w:val="clear" w:pos="709"/>
          <w:tab w:val="left" w:pos="851" w:leader="none"/>
          <w:tab w:val="left" w:pos="1134" w:leader="none"/>
        </w:tabs>
        <w:spacing w:lineRule="auto" w:line="240" w:before="0" w:after="0"/>
        <w:ind w:left="0" w:firstLine="567"/>
        <w:contextualSpacing/>
        <w:jc w:val="both"/>
        <w:rPr>
          <w:highlight w:val="none"/>
          <w:shd w:fill="auto" w:val="clear"/>
        </w:rPr>
      </w:pPr>
      <w:r>
        <w:rPr>
          <w:rFonts w:eastAsia="Times New Roman" w:cs="Times New Roman"/>
          <w:sz w:val="24"/>
          <w:szCs w:val="24"/>
          <w:shd w:fill="auto" w:val="clear"/>
        </w:rPr>
        <w:t xml:space="preserve"> </w:t>
      </w:r>
      <w:r>
        <w:rPr>
          <w:rFonts w:eastAsia="Times New Roman" w:cs="Times New Roman"/>
          <w:sz w:val="24"/>
          <w:szCs w:val="24"/>
          <w:shd w:fill="auto" w:val="clear"/>
        </w:rPr>
        <w:t>аттестованных согласно «Правил безопасности при работе с инструментом и приспособлениями», «Правил противопожарного режима в Российской Федерации»;</w:t>
      </w:r>
    </w:p>
    <w:p>
      <w:pPr>
        <w:pStyle w:val="ListParagraph"/>
        <w:numPr>
          <w:ilvl w:val="0"/>
          <w:numId w:val="19"/>
        </w:numPr>
        <w:tabs>
          <w:tab w:val="clear" w:pos="709"/>
          <w:tab w:val="left" w:pos="851" w:leader="none"/>
          <w:tab w:val="left" w:pos="1134" w:leader="none"/>
        </w:tabs>
        <w:spacing w:lineRule="auto" w:line="240" w:before="0" w:after="0"/>
        <w:ind w:left="0" w:firstLine="567"/>
        <w:contextualSpacing/>
        <w:jc w:val="both"/>
        <w:rPr>
          <w:highlight w:val="none"/>
          <w:shd w:fill="auto" w:val="clear"/>
        </w:rPr>
      </w:pPr>
      <w:r>
        <w:rPr>
          <w:rFonts w:eastAsia="Times New Roman" w:cs="Times New Roman"/>
          <w:sz w:val="24"/>
          <w:szCs w:val="24"/>
          <w:shd w:fill="auto" w:val="clear"/>
        </w:rPr>
        <w:t xml:space="preserve"> </w:t>
      </w:r>
      <w:r>
        <w:rPr>
          <w:rFonts w:eastAsia="Times New Roman" w:cs="Times New Roman"/>
          <w:sz w:val="24"/>
          <w:szCs w:val="24"/>
          <w:shd w:fill="auto" w:val="clear"/>
        </w:rPr>
        <w:t>имеющих право допуска к выполнению: работ по перемещению грузов кранами, работ с грузоподъемными механизмами;</w:t>
      </w:r>
    </w:p>
    <w:p>
      <w:pPr>
        <w:pStyle w:val="ListParagraph"/>
        <w:numPr>
          <w:ilvl w:val="0"/>
          <w:numId w:val="19"/>
        </w:numPr>
        <w:tabs>
          <w:tab w:val="clear" w:pos="709"/>
          <w:tab w:val="left" w:pos="851" w:leader="none"/>
          <w:tab w:val="left" w:pos="1134" w:leader="none"/>
        </w:tabs>
        <w:spacing w:lineRule="auto" w:line="240" w:before="0" w:after="0"/>
        <w:ind w:left="0" w:firstLine="567"/>
        <w:contextualSpacing/>
        <w:jc w:val="both"/>
        <w:rPr>
          <w:highlight w:val="none"/>
          <w:shd w:fill="auto" w:val="clear"/>
        </w:rPr>
      </w:pPr>
      <w:r>
        <w:rPr>
          <w:rFonts w:eastAsia="Times New Roman" w:cs="Times New Roman"/>
          <w:sz w:val="24"/>
          <w:szCs w:val="24"/>
          <w:shd w:fill="auto" w:val="clear"/>
        </w:rPr>
        <w:t xml:space="preserve"> </w:t>
      </w:r>
      <w:r>
        <w:rPr>
          <w:rFonts w:eastAsia="Times New Roman" w:cs="Times New Roman"/>
          <w:sz w:val="24"/>
          <w:szCs w:val="24"/>
          <w:shd w:fill="auto" w:val="clear"/>
        </w:rPr>
        <w:t>иметь необходимое медицинское освидетельствование.</w:t>
      </w:r>
    </w:p>
    <w:p>
      <w:pPr>
        <w:pStyle w:val="ListParagraph"/>
        <w:numPr>
          <w:ilvl w:val="0"/>
          <w:numId w:val="19"/>
        </w:numPr>
        <w:tabs>
          <w:tab w:val="clear" w:pos="709"/>
          <w:tab w:val="left" w:pos="851" w:leader="none"/>
          <w:tab w:val="left" w:pos="1134" w:leader="none"/>
        </w:tabs>
        <w:spacing w:lineRule="auto" w:line="240" w:before="0" w:after="0"/>
        <w:ind w:left="0" w:firstLine="567"/>
        <w:contextualSpacing/>
        <w:jc w:val="both"/>
        <w:rPr>
          <w:highlight w:val="none"/>
          <w:shd w:fill="auto" w:val="clear"/>
        </w:rPr>
      </w:pPr>
      <w:r>
        <w:rPr>
          <w:rFonts w:eastAsia="Times New Roman" w:cs="Times New Roman"/>
          <w:sz w:val="24"/>
          <w:szCs w:val="24"/>
          <w:shd w:fill="auto" w:val="clear"/>
        </w:rPr>
        <w:t>Квалификация персонала должна соответствовать видам выполняемых по договору подряда работ.</w:t>
      </w:r>
    </w:p>
    <w:p>
      <w:pPr>
        <w:pStyle w:val="ListParagraph"/>
        <w:numPr>
          <w:ilvl w:val="2"/>
          <w:numId w:val="3"/>
        </w:numPr>
        <w:shd w:val="clear" w:color="auto" w:fill="FFFFFF"/>
        <w:tabs>
          <w:tab w:val="clear" w:pos="709"/>
          <w:tab w:val="left" w:pos="1276" w:leader="none"/>
        </w:tabs>
        <w:spacing w:lineRule="auto" w:line="240"/>
        <w:ind w:left="-142" w:firstLine="710"/>
        <w:jc w:val="both"/>
        <w:rPr>
          <w:highlight w:val="none"/>
          <w:shd w:fill="auto" w:val="clear"/>
        </w:rPr>
      </w:pPr>
      <w:r>
        <w:rPr>
          <w:bCs/>
          <w:shd w:fill="auto" w:val="clear"/>
        </w:rPr>
        <w:t>Обеспечить доставку, приемку, разгрузку, складирование и хранение прибывающих на место производства Работ материалов согласно «Ведомости материалов поставки Подрядчика» (Приложение № 1.2), «Ведомости материалов поставки Заказчика» (Приложение № 1.3), а также иных Материально-технических ресурсов и оборудования, необходимых для выполнения Работ.</w:t>
      </w:r>
    </w:p>
    <w:p>
      <w:pPr>
        <w:pStyle w:val="ListParagraph"/>
        <w:numPr>
          <w:ilvl w:val="2"/>
          <w:numId w:val="3"/>
        </w:numPr>
        <w:shd w:val="clear" w:color="auto" w:fill="FFFFFF"/>
        <w:tabs>
          <w:tab w:val="clear" w:pos="709"/>
          <w:tab w:val="left" w:pos="1418" w:leader="none"/>
        </w:tabs>
        <w:spacing w:lineRule="auto" w:line="240"/>
        <w:ind w:left="0" w:firstLine="709"/>
        <w:jc w:val="both"/>
        <w:rPr>
          <w:highlight w:val="none"/>
          <w:shd w:fill="auto" w:val="clear"/>
        </w:rPr>
      </w:pPr>
      <w:r>
        <w:rPr>
          <w:rFonts w:eastAsia="Times New Roman" w:cs="Times New Roman"/>
          <w:sz w:val="24"/>
          <w:szCs w:val="24"/>
          <w:shd w:fill="auto" w:val="clear"/>
        </w:rPr>
        <w:t>Подрядчик должен:</w:t>
      </w:r>
    </w:p>
    <w:p>
      <w:pPr>
        <w:pStyle w:val="ListParagraph"/>
        <w:numPr>
          <w:ilvl w:val="0"/>
          <w:numId w:val="20"/>
        </w:numPr>
        <w:tabs>
          <w:tab w:val="left" w:pos="709" w:leader="none"/>
        </w:tabs>
        <w:spacing w:lineRule="auto" w:line="240" w:before="0" w:after="0"/>
        <w:ind w:left="0" w:firstLine="567"/>
        <w:contextualSpacing/>
        <w:jc w:val="both"/>
        <w:rPr>
          <w:highlight w:val="none"/>
          <w:shd w:fill="auto" w:val="clear"/>
        </w:rPr>
      </w:pPr>
      <w:r>
        <w:rPr>
          <w:rFonts w:eastAsia="Times New Roman" w:cs="Times New Roman"/>
          <w:sz w:val="24"/>
          <w:szCs w:val="24"/>
          <w:shd w:fill="auto" w:val="clear"/>
        </w:rPr>
        <w:t xml:space="preserve"> </w:t>
      </w:r>
      <w:r>
        <w:rPr>
          <w:rFonts w:eastAsia="Times New Roman" w:cs="Times New Roman"/>
          <w:sz w:val="24"/>
          <w:szCs w:val="24"/>
          <w:shd w:fill="auto" w:val="clear"/>
        </w:rPr>
        <w:t>иметь производственную базу (материально-технические ресурсы), позволяющую проводить работы в объеме, определенном ведомостью объемов работ и в сроки, определённые графиком, обязательное наличие рабочей спецодежды с логотипом и наименованием организации;</w:t>
      </w:r>
    </w:p>
    <w:p>
      <w:pPr>
        <w:pStyle w:val="ListParagraph"/>
        <w:numPr>
          <w:ilvl w:val="0"/>
          <w:numId w:val="20"/>
        </w:numPr>
        <w:tabs>
          <w:tab w:val="clear" w:pos="709"/>
          <w:tab w:val="left" w:pos="851" w:leader="none"/>
          <w:tab w:val="left" w:pos="1134" w:leader="none"/>
        </w:tabs>
        <w:spacing w:lineRule="auto" w:line="240" w:before="0" w:after="0"/>
        <w:ind w:left="0" w:firstLine="567"/>
        <w:contextualSpacing/>
        <w:jc w:val="both"/>
        <w:rPr>
          <w:highlight w:val="none"/>
          <w:shd w:fill="auto" w:val="clear"/>
        </w:rPr>
      </w:pPr>
      <w:r>
        <w:rPr>
          <w:rFonts w:eastAsia="Times New Roman" w:cs="Times New Roman"/>
          <w:sz w:val="24"/>
          <w:szCs w:val="24"/>
          <w:shd w:fill="auto" w:val="clear"/>
        </w:rPr>
        <w:t xml:space="preserve"> </w:t>
      </w:r>
      <w:r>
        <w:rPr>
          <w:rFonts w:eastAsia="Times New Roman" w:cs="Times New Roman"/>
          <w:sz w:val="24"/>
          <w:szCs w:val="24"/>
          <w:shd w:fill="auto" w:val="clear"/>
        </w:rPr>
        <w:t>располагать квалифицированной командой ИТР, способной до начала работ на объекте ознакомить производственные бригады с общим объёмом работ, сроком выполнения работ и графиком производства работ, правилами внутреннего распорядка, задачами, стоящими перед каждой бригадой:</w:t>
      </w:r>
    </w:p>
    <w:p>
      <w:pPr>
        <w:pStyle w:val="ListParagraph"/>
        <w:numPr>
          <w:ilvl w:val="0"/>
          <w:numId w:val="20"/>
        </w:numPr>
        <w:tabs>
          <w:tab w:val="clear" w:pos="709"/>
          <w:tab w:val="left" w:pos="851" w:leader="none"/>
          <w:tab w:val="left" w:pos="1134" w:leader="none"/>
        </w:tabs>
        <w:spacing w:lineRule="auto" w:line="240" w:before="0" w:after="0"/>
        <w:ind w:left="0" w:firstLine="567"/>
        <w:contextualSpacing/>
        <w:jc w:val="both"/>
        <w:rPr>
          <w:highlight w:val="none"/>
          <w:shd w:fill="auto" w:val="clear"/>
        </w:rPr>
      </w:pPr>
      <w:r>
        <w:rPr>
          <w:rFonts w:eastAsia="Times New Roman" w:cs="Times New Roman"/>
          <w:sz w:val="24"/>
          <w:szCs w:val="24"/>
          <w:shd w:fill="auto" w:val="clear"/>
        </w:rPr>
        <w:t xml:space="preserve"> </w:t>
      </w:r>
      <w:r>
        <w:rPr>
          <w:rFonts w:eastAsia="Times New Roman" w:cs="Times New Roman"/>
          <w:sz w:val="24"/>
          <w:szCs w:val="24"/>
          <w:shd w:fill="auto" w:val="clear"/>
        </w:rPr>
        <w:t>располагать достаточным количеством аттестованного персонала, организованного по принципу комплексных специализированных бригад.</w:t>
      </w:r>
    </w:p>
    <w:p>
      <w:pPr>
        <w:pStyle w:val="ListParagraph"/>
        <w:numPr>
          <w:ilvl w:val="2"/>
          <w:numId w:val="3"/>
        </w:numPr>
        <w:shd w:val="clear" w:color="auto" w:fill="FFFFFF"/>
        <w:tabs>
          <w:tab w:val="clear" w:pos="709"/>
          <w:tab w:val="left" w:pos="1418" w:leader="none"/>
        </w:tabs>
        <w:ind w:left="0" w:firstLine="710"/>
        <w:jc w:val="both"/>
        <w:rPr>
          <w:highlight w:val="none"/>
          <w:shd w:fill="auto" w:val="clear"/>
        </w:rPr>
      </w:pPr>
      <w:r>
        <w:rPr>
          <w:bCs/>
          <w:shd w:fill="auto" w:val="clear"/>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9"/>
          <w:tab w:val="left" w:pos="1418" w:leader="none"/>
        </w:tabs>
        <w:ind w:left="0" w:firstLine="710"/>
        <w:jc w:val="both"/>
        <w:rPr>
          <w:highlight w:val="none"/>
          <w:shd w:fill="auto" w:val="clear"/>
        </w:rPr>
      </w:pPr>
      <w:r>
        <w:rPr>
          <w:bCs/>
          <w:shd w:fill="auto" w:val="clear"/>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3"/>
        </w:numPr>
        <w:shd w:val="clear" w:color="auto" w:fill="FFFFFF"/>
        <w:tabs>
          <w:tab w:val="clear" w:pos="709"/>
          <w:tab w:val="left" w:pos="1418" w:leader="none"/>
        </w:tabs>
        <w:ind w:left="0" w:firstLine="710"/>
        <w:jc w:val="both"/>
        <w:rPr>
          <w:highlight w:val="none"/>
          <w:shd w:fill="auto" w:val="clear"/>
        </w:rPr>
      </w:pPr>
      <w:r>
        <w:rPr>
          <w:bCs/>
          <w:shd w:fill="auto" w:val="clear"/>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3"/>
        </w:numPr>
        <w:shd w:val="clear" w:color="auto" w:fill="FFFFFF"/>
        <w:tabs>
          <w:tab w:val="clear" w:pos="709"/>
          <w:tab w:val="left" w:pos="1418" w:leader="none"/>
        </w:tabs>
        <w:ind w:left="0" w:firstLine="710"/>
        <w:jc w:val="both"/>
        <w:rPr>
          <w:highlight w:val="none"/>
          <w:shd w:fill="auto" w:val="clear"/>
        </w:rPr>
      </w:pPr>
      <w:r>
        <w:rPr>
          <w:bCs/>
          <w:shd w:fill="auto" w:val="clea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3"/>
        </w:numPr>
        <w:shd w:val="clear" w:color="auto" w:fill="FFFFFF"/>
        <w:tabs>
          <w:tab w:val="clear" w:pos="709"/>
          <w:tab w:val="left" w:pos="1418" w:leader="none"/>
        </w:tabs>
        <w:ind w:left="0" w:firstLine="710"/>
        <w:jc w:val="both"/>
        <w:rPr>
          <w:highlight w:val="none"/>
          <w:shd w:fill="auto" w:val="clear"/>
        </w:rPr>
      </w:pPr>
      <w:r>
        <w:rPr>
          <w:bCs/>
          <w:shd w:fill="auto" w:val="clear"/>
        </w:rPr>
        <w:t>Предоставить Заказчику в срок не позднее 25 числа каждого месяца в полном объеме необходимую для приемки Работ приемо-сдаточную и исполнительную документацию</w:t>
      </w:r>
      <w:r>
        <w:rPr>
          <w:shd w:fill="auto" w:val="clear"/>
        </w:rPr>
        <w:t xml:space="preserve"> </w:t>
      </w:r>
      <w:r>
        <w:rPr>
          <w:bCs/>
          <w:shd w:fill="auto" w:val="clear"/>
        </w:rPr>
        <w:t xml:space="preserve">в 3 (трех) экземплярах. </w:t>
      </w:r>
    </w:p>
    <w:p>
      <w:pPr>
        <w:pStyle w:val="ListParagraph"/>
        <w:shd w:val="clear" w:color="auto" w:fill="FFFFFF"/>
        <w:ind w:left="0" w:firstLine="709"/>
        <w:jc w:val="both"/>
        <w:rPr>
          <w:highlight w:val="none"/>
          <w:shd w:fill="auto" w:val="clear"/>
        </w:rPr>
      </w:pPr>
      <w:r>
        <w:rPr>
          <w:bCs/>
          <w:shd w:fill="auto" w:val="clear"/>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3"/>
        </w:numPr>
        <w:shd w:val="clear" w:color="auto" w:fill="FFFFFF"/>
        <w:tabs>
          <w:tab w:val="clear" w:pos="709"/>
          <w:tab w:val="left" w:pos="1418" w:leader="none"/>
        </w:tabs>
        <w:ind w:left="0" w:firstLine="710"/>
        <w:jc w:val="both"/>
        <w:rPr>
          <w:highlight w:val="none"/>
          <w:shd w:fill="auto" w:val="clear"/>
        </w:rPr>
      </w:pPr>
      <w:r>
        <w:rPr>
          <w:bCs/>
          <w:shd w:fill="auto" w:val="clear"/>
        </w:rPr>
        <w:t xml:space="preserve"> </w:t>
      </w:r>
      <w:r>
        <w:rPr>
          <w:bCs/>
          <w:shd w:fill="auto" w:val="clear"/>
        </w:rPr>
        <w:t>Передать Заказчику в полном объеме</w:t>
      </w:r>
      <w:r>
        <w:rPr>
          <w:shd w:fill="auto" w:val="clear"/>
        </w:rPr>
        <w:t xml:space="preserve"> лом черных и цветных металлов, </w:t>
      </w:r>
      <w:r>
        <w:rPr>
          <w:bCs/>
          <w:shd w:fill="auto" w:val="clear"/>
        </w:rPr>
        <w:t>образовавшийся в ходе выполнения Работ, по форме акта М-35 (Приложение № 14) об оприходовании материальных ценностей, полученных при разборке и демонтаже. Кроме этого, сдать в надлежащем виде, на склад Заказчика заглушки на трубопроводы. В случае невозврата заглушек Заказчику, Заказчик имеет право удержать их стоимость при расчете за выполненные работы</w:t>
      </w:r>
    </w:p>
    <w:p>
      <w:pPr>
        <w:pStyle w:val="ListParagraph"/>
        <w:numPr>
          <w:ilvl w:val="2"/>
          <w:numId w:val="3"/>
        </w:numPr>
        <w:shd w:val="clear" w:color="auto" w:fill="FFFFFF"/>
        <w:tabs>
          <w:tab w:val="clear" w:pos="709"/>
          <w:tab w:val="left" w:pos="1418" w:leader="none"/>
        </w:tabs>
        <w:ind w:left="0" w:firstLine="710"/>
        <w:jc w:val="both"/>
        <w:rPr>
          <w:highlight w:val="none"/>
          <w:shd w:fill="auto" w:val="clear"/>
        </w:rPr>
      </w:pPr>
      <w:r>
        <w:rPr>
          <w:bCs/>
          <w:shd w:fill="auto" w:val="clear"/>
        </w:rPr>
        <w:t>Выполнять полученные в ходе исполнения Договора указания Заказчика</w:t>
      </w:r>
      <w:r>
        <w:rPr>
          <w:shd w:fill="auto" w:val="clear"/>
        </w:rPr>
        <w:t xml:space="preserve"> </w:t>
      </w:r>
      <w:r>
        <w:rPr>
          <w:bCs/>
          <w:shd w:fill="auto" w:val="clear"/>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9"/>
          <w:tab w:val="left" w:pos="1418" w:leader="none"/>
        </w:tabs>
        <w:spacing w:lineRule="auto" w:line="240"/>
        <w:ind w:firstLine="709"/>
        <w:rPr>
          <w:highlight w:val="none"/>
          <w:shd w:fill="auto" w:val="clear"/>
        </w:rPr>
      </w:pPr>
      <w:r>
        <w:rPr>
          <w:bCs/>
          <w:sz w:val="24"/>
          <w:szCs w:val="24"/>
          <w:shd w:fill="auto" w:val="clear"/>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9"/>
          <w:tab w:val="left" w:pos="1418" w:leader="none"/>
        </w:tabs>
        <w:spacing w:lineRule="auto" w:line="240"/>
        <w:ind w:firstLine="709"/>
        <w:rPr>
          <w:highlight w:val="none"/>
          <w:shd w:fill="auto" w:val="clear"/>
        </w:rPr>
      </w:pPr>
      <w:r>
        <w:rPr>
          <w:bCs/>
          <w:sz w:val="24"/>
          <w:szCs w:val="24"/>
          <w:shd w:fill="auto" w:val="clear"/>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2.3.23.1 Договора. </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2.3.23.1 Договора.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3"/>
        </w:numPr>
        <w:shd w:val="clear" w:color="auto" w:fill="FFFFFF"/>
        <w:tabs>
          <w:tab w:val="clear" w:pos="709"/>
          <w:tab w:val="left" w:pos="1701" w:leader="none"/>
        </w:tabs>
        <w:ind w:left="0" w:firstLine="709"/>
        <w:jc w:val="both"/>
        <w:rPr>
          <w:highlight w:val="none"/>
          <w:shd w:fill="auto" w:val="clear"/>
        </w:rPr>
      </w:pPr>
      <w:r>
        <w:rPr>
          <w:bCs/>
          <w:shd w:fill="auto" w:val="clear"/>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3"/>
        </w:numPr>
        <w:shd w:val="clear" w:color="auto" w:fill="FFFFFF"/>
        <w:tabs>
          <w:tab w:val="clear" w:pos="709"/>
          <w:tab w:val="left" w:pos="1701" w:leader="none"/>
        </w:tabs>
        <w:ind w:left="0" w:firstLine="709"/>
        <w:jc w:val="both"/>
        <w:rPr>
          <w:highlight w:val="none"/>
          <w:shd w:fill="auto" w:val="clear"/>
        </w:rPr>
      </w:pPr>
      <w:r>
        <w:rPr>
          <w:bCs/>
          <w:shd w:fill="auto" w:val="clea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3"/>
        </w:numPr>
        <w:shd w:val="clear" w:color="auto" w:fill="FFFFFF"/>
        <w:tabs>
          <w:tab w:val="clear" w:pos="709"/>
          <w:tab w:val="left" w:pos="1701" w:leader="none"/>
        </w:tabs>
        <w:ind w:left="0" w:firstLine="709"/>
        <w:jc w:val="both"/>
        <w:rPr>
          <w:highlight w:val="none"/>
          <w:shd w:fill="auto" w:val="clear"/>
        </w:rPr>
      </w:pPr>
      <w:r>
        <w:rPr>
          <w:bCs/>
          <w:shd w:fill="auto" w:val="clear"/>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9"/>
          <w:tab w:val="left" w:pos="567" w:leader="none"/>
        </w:tabs>
        <w:ind w:left="0" w:firstLine="709"/>
        <w:jc w:val="both"/>
        <w:rPr>
          <w:highlight w:val="none"/>
          <w:shd w:fill="auto" w:val="clear"/>
        </w:rPr>
      </w:pPr>
      <w:r>
        <w:rPr>
          <w:bCs/>
          <w:shd w:fill="auto" w:val="clear"/>
        </w:rPr>
        <w:t>Невыполнение Подрядчиком требований пункта 2.3.23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Письменно уведомлять</w:t>
      </w:r>
      <w:r>
        <w:rPr>
          <w:shd w:fill="auto" w:val="clea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5"/>
        </w:numPr>
        <w:ind w:left="0" w:right="23" w:firstLine="709"/>
        <w:jc w:val="both"/>
        <w:rPr>
          <w:highlight w:val="none"/>
          <w:shd w:fill="auto" w:val="clear"/>
        </w:rPr>
      </w:pPr>
      <w:r>
        <w:rPr>
          <w:shd w:fill="auto" w:val="clear"/>
        </w:rPr>
        <w:t>аварии – в течение 2 (двух) часов;</w:t>
      </w:r>
    </w:p>
    <w:p>
      <w:pPr>
        <w:pStyle w:val="ListParagraph"/>
        <w:numPr>
          <w:ilvl w:val="0"/>
          <w:numId w:val="15"/>
        </w:numPr>
        <w:ind w:left="0" w:right="23" w:firstLine="709"/>
        <w:jc w:val="both"/>
        <w:rPr>
          <w:highlight w:val="none"/>
          <w:shd w:fill="auto" w:val="clear"/>
        </w:rPr>
      </w:pPr>
      <w:r>
        <w:rPr>
          <w:shd w:fill="auto" w:val="clea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5"/>
        </w:numPr>
        <w:ind w:left="0" w:right="23" w:firstLine="709"/>
        <w:jc w:val="both"/>
        <w:rPr>
          <w:highlight w:val="none"/>
          <w:shd w:fill="auto" w:val="clear"/>
        </w:rPr>
      </w:pPr>
      <w:r>
        <w:rPr>
          <w:shd w:fill="auto" w:val="clear"/>
        </w:rPr>
        <w:t>хищении и иных противоправных действиях – в течение 24 (двадцати четырех) часов;</w:t>
      </w:r>
    </w:p>
    <w:p>
      <w:pPr>
        <w:pStyle w:val="ListParagraph"/>
        <w:numPr>
          <w:ilvl w:val="0"/>
          <w:numId w:val="15"/>
        </w:numPr>
        <w:ind w:left="0" w:right="23" w:firstLine="709"/>
        <w:jc w:val="both"/>
        <w:rPr>
          <w:highlight w:val="none"/>
          <w:shd w:fill="auto" w:val="clear"/>
        </w:rPr>
      </w:pPr>
      <w:r>
        <w:rPr>
          <w:shd w:fill="auto" w:val="clea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5"/>
        </w:numPr>
        <w:ind w:left="0" w:right="23" w:firstLine="709"/>
        <w:jc w:val="both"/>
        <w:rPr>
          <w:highlight w:val="none"/>
          <w:shd w:fill="auto" w:val="clear"/>
        </w:rPr>
      </w:pPr>
      <w:r>
        <w:rPr>
          <w:shd w:fill="auto" w:val="clea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5"/>
        </w:numPr>
        <w:ind w:left="0" w:right="23" w:firstLine="709"/>
        <w:jc w:val="both"/>
        <w:rPr>
          <w:highlight w:val="none"/>
          <w:shd w:fill="auto" w:val="clear"/>
        </w:rPr>
      </w:pPr>
      <w:r>
        <w:rPr>
          <w:shd w:fill="auto" w:val="clea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№4.1 к Договору).</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Подрядчик обязан незамедлительно приступать к устранению недостатков, о которых ему стало известно.</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Указанное уведомление должно быть получено Заказчиком заблаговременно</w:t>
      </w:r>
      <w:r>
        <w:rPr>
          <w:bCs/>
          <w:shd w:fill="auto" w:val="clear"/>
        </w:rPr>
        <w:t xml:space="preserve">, но не позднее, чем за </w:t>
      </w:r>
      <w:r>
        <w:rPr>
          <w:shd w:fill="auto" w:val="clear"/>
        </w:rPr>
        <w:t>5 (пять)</w:t>
      </w:r>
      <w:r>
        <w:rPr>
          <w:bCs/>
          <w:shd w:fill="auto" w:val="clear"/>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auto" w:val="clear"/>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 </w:t>
      </w:r>
      <w:r>
        <w:rPr>
          <w:bCs/>
          <w:shd w:fill="auto" w:val="clear"/>
        </w:rPr>
        <w:t>без какого-либо ограничения размера такого возмещения.</w:t>
      </w:r>
    </w:p>
    <w:p>
      <w:pPr>
        <w:pStyle w:val="ListParagraph"/>
        <w:numPr>
          <w:ilvl w:val="2"/>
          <w:numId w:val="3"/>
        </w:numPr>
        <w:shd w:val="clear" w:color="auto" w:fill="FFFFFF"/>
        <w:tabs>
          <w:tab w:val="clear" w:pos="709"/>
          <w:tab w:val="left" w:pos="1418" w:leader="none"/>
        </w:tabs>
        <w:ind w:left="0" w:firstLine="710"/>
        <w:jc w:val="both"/>
        <w:rPr>
          <w:highlight w:val="none"/>
          <w:shd w:fill="auto" w:val="clear"/>
        </w:rPr>
      </w:pPr>
      <w:r>
        <w:rPr>
          <w:bCs/>
          <w:shd w:fill="auto" w:val="clear"/>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shd w:fill="auto" w:val="clear"/>
        </w:rPr>
        <w:t xml:space="preserve"> </w:t>
      </w:r>
      <w:r>
        <w:rPr>
          <w:bCs/>
          <w:shd w:fill="auto" w:val="clear"/>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3"/>
        </w:numPr>
        <w:ind w:left="0" w:firstLine="709"/>
        <w:jc w:val="both"/>
        <w:rPr>
          <w:highlight w:val="none"/>
          <w:shd w:fill="auto" w:val="clear"/>
        </w:rPr>
      </w:pPr>
      <w:r>
        <w:rPr>
          <w:color w:val="000000"/>
          <w:shd w:fill="auto" w:val="clear"/>
        </w:rPr>
        <w:t>Предоставить Заказчику Банковскую гарантию в соответствии с разделом 6 Договора.</w:t>
      </w:r>
    </w:p>
    <w:p>
      <w:pPr>
        <w:pStyle w:val="ListParagraph"/>
        <w:numPr>
          <w:ilvl w:val="2"/>
          <w:numId w:val="3"/>
        </w:numPr>
        <w:ind w:left="0" w:firstLine="709"/>
        <w:jc w:val="both"/>
        <w:rPr>
          <w:highlight w:val="none"/>
          <w:shd w:fill="auto" w:val="clear"/>
        </w:rPr>
      </w:pPr>
      <w:r>
        <w:rPr>
          <w:color w:val="000000"/>
          <w:shd w:fill="auto" w:val="clear"/>
        </w:rPr>
        <w:t>Принять у Заказчика в порядке, установленном Приложением № 6 к Договору, необходимые Давальческие материалы и запасные части, перечень которых указан в Приложении № 1.3 к Договору.</w:t>
      </w:r>
    </w:p>
    <w:p>
      <w:pPr>
        <w:pStyle w:val="ListParagraph"/>
        <w:numPr>
          <w:ilvl w:val="2"/>
          <w:numId w:val="3"/>
        </w:numPr>
        <w:ind w:left="0" w:firstLine="709"/>
        <w:jc w:val="both"/>
        <w:rPr>
          <w:highlight w:val="none"/>
          <w:shd w:fill="auto" w:val="clear"/>
        </w:rPr>
      </w:pPr>
      <w:r>
        <w:rPr>
          <w:color w:val="000000"/>
          <w:shd w:fill="auto" w:val="clear"/>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6 к Договору.</w:t>
      </w:r>
    </w:p>
    <w:p>
      <w:pPr>
        <w:pStyle w:val="ListParagraph"/>
        <w:numPr>
          <w:ilvl w:val="2"/>
          <w:numId w:val="3"/>
        </w:numPr>
        <w:ind w:left="0" w:firstLine="709"/>
        <w:jc w:val="both"/>
        <w:rPr>
          <w:highlight w:val="none"/>
          <w:shd w:fill="auto" w:val="clear"/>
        </w:rPr>
      </w:pPr>
      <w:r>
        <w:rPr>
          <w:shd w:fill="auto"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 xml:space="preserve">Исполнять иные обязанности, предусмотренные Договором и </w:t>
      </w:r>
      <w:r>
        <w:rPr>
          <w:bCs/>
          <w:shd w:fill="auto" w:val="clear"/>
        </w:rPr>
        <w:t>законодательством Российской Федерации.</w:t>
      </w:r>
      <w:r>
        <w:rPr>
          <w:shd w:fill="auto" w:val="clear"/>
        </w:rPr>
        <w:t xml:space="preserve"> </w:t>
      </w:r>
    </w:p>
    <w:p>
      <w:pPr>
        <w:pStyle w:val="Normal"/>
        <w:spacing w:lineRule="auto" w:line="240"/>
        <w:rPr>
          <w:sz w:val="24"/>
          <w:szCs w:val="24"/>
          <w:highlight w:val="none"/>
          <w:shd w:fill="auto" w:val="clear"/>
        </w:rPr>
      </w:pPr>
      <w:r>
        <w:rPr>
          <w:sz w:val="24"/>
          <w:szCs w:val="24"/>
          <w:shd w:fill="auto" w:val="clear"/>
        </w:rPr>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u w:val="single"/>
          <w:shd w:fill="auto" w:val="clear"/>
        </w:rPr>
        <w:t>Подрядчик имеет право</w:t>
      </w:r>
      <w:r>
        <w:rPr>
          <w:bCs/>
          <w:shd w:fill="auto" w:val="clear"/>
        </w:rPr>
        <w:t>:</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Самостоятельно организовать выполнение Работ.</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___  (______) процентов от Цены Договора, неся при этом ответственность за действия Субподрядчиков, как за свои собственные. </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bCs/>
          <w:shd w:fill="auto" w:val="clear"/>
        </w:rPr>
        <w:t xml:space="preserve">            </w:t>
      </w:r>
      <w:r>
        <w:rPr>
          <w:bCs/>
          <w:shd w:fill="auto" w:val="clear"/>
        </w:rPr>
        <w:t xml:space="preserve">При согласовании привлечения Субподрядчика Подрядчик представляет Заказчику: </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bCs/>
          <w:shd w:fill="auto" w:val="clear"/>
        </w:rPr>
        <w:t xml:space="preserve">           </w:t>
      </w:r>
      <w:r>
        <w:rPr>
          <w:bCs/>
          <w:shd w:fill="auto" w:val="clear"/>
        </w:rPr>
        <w:t xml:space="preserve">- проект договора с Субподрядчиком; </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bCs/>
          <w:shd w:fill="auto" w:val="clear"/>
        </w:rPr>
        <w:t xml:space="preserve">           </w:t>
      </w:r>
      <w:r>
        <w:rPr>
          <w:bCs/>
          <w:shd w:fill="auto" w:val="clear"/>
        </w:rPr>
        <w:t xml:space="preserve">- сведения об объемах выполнения работ Субподрядчиком; </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bCs/>
          <w:shd w:fill="auto" w:val="clear"/>
        </w:rPr>
        <w:t xml:space="preserve">      </w:t>
      </w:r>
      <w:r>
        <w:rPr>
          <w:bCs/>
          <w:shd w:fill="auto" w:val="clear"/>
        </w:rPr>
        <w:t xml:space="preserve">- пофамильный перечень персонала Субподрядчика, который будет задействован при производстве Работ; </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bCs/>
          <w:shd w:fill="auto" w:val="clear"/>
        </w:rPr>
        <w:t xml:space="preserve">       </w:t>
      </w:r>
      <w:r>
        <w:rPr>
          <w:bCs/>
          <w:shd w:fill="auto" w:val="clear"/>
        </w:rPr>
        <w:t>- 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shd w:val="clear" w:color="auto" w:fill="FFFFFF"/>
        <w:tabs>
          <w:tab w:val="clear" w:pos="709"/>
          <w:tab w:val="left" w:pos="1276" w:leader="none"/>
          <w:tab w:val="left" w:pos="1418" w:leader="none"/>
        </w:tabs>
        <w:ind w:left="0" w:firstLine="567"/>
        <w:jc w:val="both"/>
        <w:rPr>
          <w:b/>
          <w:bCs/>
          <w:highlight w:val="none"/>
          <w:shd w:fill="auto" w:val="clear"/>
        </w:rPr>
      </w:pPr>
      <w:r>
        <w:rPr>
          <w:b/>
          <w:bCs/>
          <w:shd w:fill="auto" w:val="clear"/>
        </w:rPr>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r>
    </w:p>
    <w:p>
      <w:pPr>
        <w:pStyle w:val="ListParagraph"/>
        <w:numPr>
          <w:ilvl w:val="0"/>
          <w:numId w:val="3"/>
        </w:numPr>
        <w:shd w:val="clear" w:color="auto" w:fill="FFFFFF"/>
        <w:tabs>
          <w:tab w:val="clear" w:pos="709"/>
          <w:tab w:val="left" w:pos="284" w:leader="none"/>
        </w:tabs>
        <w:ind w:left="0" w:hanging="0"/>
        <w:jc w:val="center"/>
        <w:rPr>
          <w:highlight w:val="none"/>
          <w:shd w:fill="auto" w:val="clear"/>
        </w:rPr>
      </w:pPr>
      <w:r>
        <w:rPr>
          <w:b/>
          <w:bCs/>
          <w:shd w:fill="auto" w:val="clear"/>
        </w:rPr>
        <w:t>Цена Договора и порядок расчетов</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Цена </w:t>
      </w:r>
      <w:r>
        <w:rPr>
          <w:shd w:fill="auto" w:val="clear"/>
        </w:rPr>
        <w:t xml:space="preserve">Договора </w:t>
      </w:r>
      <w:r>
        <w:rPr>
          <w:bCs/>
          <w:shd w:fill="auto" w:val="clear"/>
        </w:rPr>
        <w:t>в соответствии со Сводным сметным расчетом</w:t>
      </w:r>
      <w:r>
        <w:rPr>
          <w:shd w:fill="auto" w:val="clear"/>
        </w:rPr>
        <w:t xml:space="preserve"> </w:t>
      </w:r>
      <w:r>
        <w:rPr>
          <w:bCs/>
          <w:shd w:fill="auto" w:val="clear"/>
        </w:rPr>
        <w:t xml:space="preserve">(Приложение № 2 к Договору) является предельной и составляет </w:t>
      </w:r>
      <w:r>
        <w:rPr>
          <w:shd w:fill="auto" w:val="clear"/>
        </w:rPr>
        <w:t>_______</w:t>
      </w:r>
      <w:r>
        <w:rPr>
          <w:bCs/>
          <w:shd w:fill="auto" w:val="clear"/>
        </w:rPr>
        <w:t xml:space="preserve"> (</w:t>
      </w:r>
      <w:r>
        <w:rPr>
          <w:shd w:fill="auto" w:val="clear"/>
        </w:rPr>
        <w:t>__________________</w:t>
      </w:r>
      <w:r>
        <w:rPr>
          <w:bCs/>
          <w:shd w:fill="auto" w:val="clear"/>
        </w:rPr>
        <w:t xml:space="preserve">) рублей </w:t>
      </w:r>
      <w:r>
        <w:rPr>
          <w:shd w:fill="auto" w:val="clear"/>
        </w:rPr>
        <w:t>___</w:t>
      </w:r>
      <w:r>
        <w:rPr>
          <w:bCs/>
          <w:shd w:fill="auto" w:val="clear"/>
        </w:rPr>
        <w:t xml:space="preserve"> копеек в том числе НДС __________________(_________) ____ копеек.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 xml:space="preserve">Твердая цена Работ (без учёта на  Лимиты на непредвиденные работы и затраты) составляет </w:t>
      </w:r>
      <w:r>
        <w:rPr>
          <w:shd w:fill="auto" w:val="clear"/>
        </w:rPr>
        <w:t xml:space="preserve">_______ </w:t>
      </w:r>
      <w:r>
        <w:rPr>
          <w:bCs/>
          <w:shd w:fill="auto" w:val="clear"/>
        </w:rPr>
        <w:t>(</w:t>
      </w:r>
      <w:r>
        <w:rPr>
          <w:shd w:fill="auto" w:val="clear"/>
        </w:rPr>
        <w:t>_______________</w:t>
      </w:r>
      <w:r>
        <w:rPr>
          <w:bCs/>
          <w:shd w:fill="auto" w:val="clear"/>
        </w:rPr>
        <w:t xml:space="preserve">) рублей </w:t>
      </w:r>
      <w:r>
        <w:rPr>
          <w:shd w:fill="auto" w:val="clear"/>
        </w:rPr>
        <w:t>___</w:t>
      </w:r>
      <w:r>
        <w:rPr>
          <w:bCs/>
          <w:shd w:fill="auto" w:val="clear"/>
        </w:rPr>
        <w:t xml:space="preserve"> копеек в том числе НДС __________________(_________) ____ копеек;</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 xml:space="preserve">Лимит на непредвиденные работы и затраты составляет ______ </w:t>
      </w:r>
      <w:r>
        <w:rPr>
          <w:bCs/>
          <w:shd w:fill="auto" w:val="clear"/>
        </w:rPr>
        <w:t>(___________________)</w:t>
      </w:r>
      <w:r>
        <w:rPr>
          <w:shd w:fill="auto" w:val="clear"/>
        </w:rPr>
        <w:t xml:space="preserve"> рублей ___ копеек </w:t>
      </w:r>
      <w:r>
        <w:rPr>
          <w:bCs/>
          <w:shd w:fill="auto" w:val="clear"/>
        </w:rPr>
        <w:t>в том числе НДС __________________(_________) ____ копеек.</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Цена Договора включает в себя прибыль Подрядчика, а также все расходы и затраты Подрядчика на:</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 xml:space="preserve">Приобретение Материально-технических ресурсов согласно «Ведомости материалов поставки Подрядчика (Приложение 1.3)  необходимых для выполнения Работ по Договору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Подлежащие уплате налоги, сборы и пошлины (в том числе по таможенному оформлению Материально-технических ресурсов</w:t>
      </w:r>
      <w:r>
        <w:rPr>
          <w:bCs/>
          <w:shd w:fill="auto" w:val="clear"/>
        </w:rPr>
        <w:t xml:space="preserve"> и оборудования</w:t>
      </w:r>
      <w:r>
        <w:rPr>
          <w:shd w:fill="auto" w:val="clear"/>
        </w:rPr>
        <w:t xml:space="preserve">, если применимо);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6" w:name="_Ref361834675"/>
      <w:bookmarkStart w:id="7" w:name="_Ref361858588"/>
      <w:r>
        <w:rPr>
          <w:bCs/>
          <w:shd w:fill="auto" w:val="clear"/>
        </w:rPr>
        <w:t>Оплата по Договору осуществляется Заказчиком в следующем порядке:</w:t>
      </w:r>
      <w:bookmarkEnd w:id="6"/>
      <w:bookmarkEnd w:id="7"/>
      <w:r>
        <w:rPr>
          <w:bCs/>
          <w:shd w:fill="auto" w:val="clear"/>
        </w:rPr>
        <w:t xml:space="preserve">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 xml:space="preserve">Авансовый платеж в размере 10 (десяти процентов) от цены Работ (без учета непредвиденных работ и затрат) выплачивается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производства работ, определенной в соответствии с </w:t>
      </w:r>
      <w:r>
        <w:rPr>
          <w:bCs/>
          <w:shd w:fill="auto" w:val="clear"/>
        </w:rPr>
        <w:t>Графиком выполнения и финансирования Работ</w:t>
      </w:r>
      <w:r>
        <w:rPr>
          <w:shd w:fill="auto" w:val="clear"/>
        </w:rPr>
        <w:t xml:space="preserve"> (Приложение № 3 к Договору), с учетом пунктом  3.3.3 Договора.</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Последующие платежи в размере 90 (девяноста процентов) от стоимости каждого промежуточного (ежемесячного) объёма выполненных работ выплачиваются в течение 45 (сорока пяти) календарных дней / 7 (семи) рабочих дней для СМСП с даты подписания Сторонами документов, указанных в пункте 4.1 Договора, на основании счёта, выставленного Подрядчиком, и с учетом пунктов 3.3.3, 3.3.5</w:t>
      </w:r>
      <w:r>
        <w:rPr>
          <w:color w:val="000000" w:themeColor="text1"/>
          <w:shd w:fill="auto" w:val="clear"/>
          <w14:textOutline w14:w="0" w14:cap="flat" w14:cmpd="sng" w14:algn="ctr">
            <w14:noFill/>
            <w14:prstDash w14:val="solid"/>
            <w14:round/>
          </w14:textOutline>
        </w:rPr>
        <w:t xml:space="preserve"> </w:t>
      </w:r>
      <w:r>
        <w:rPr>
          <w:shd w:fill="auto" w:val="clear"/>
        </w:rPr>
        <w:t xml:space="preserve">Договора. </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 xml:space="preserve">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shd w:fill="auto" w:val="clear"/>
        </w:rPr>
        <w:t>Заказчик направляет Подрядчику уведомление о проведении сальдо взаимных обязательств Сторон по Договору</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rFonts w:eastAsia="Times New Roman" w:cs="Times New Roman"/>
          <w:sz w:val="24"/>
          <w:shd w:fill="auto" w:val="clear"/>
        </w:rPr>
        <w:t xml:space="preserve">  </w:t>
      </w:r>
      <w:r>
        <w:rPr>
          <w:rFonts w:eastAsia="Times New Roman" w:cs="Times New Roman"/>
          <w:sz w:val="24"/>
          <w:shd w:fill="auto" w:val="clear"/>
        </w:rPr>
        <w:t xml:space="preserve">Подрядчик обязан в течение 30 (тридцати) календарных дней с даты, следующей за датой начала выполнения Работ, указанной в пункте 1.4.1 Договора, предоставить Заказчику Банковскую гарантию надлежащего исполнения Договора, соответствующую требованиям, установленным разделом 7 Договора. </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rFonts w:eastAsia="Times New Roman" w:cs="Times New Roman"/>
          <w:sz w:val="24"/>
          <w:shd w:fill="auto" w:val="clear"/>
        </w:rPr>
        <w:t xml:space="preserve">          </w:t>
      </w:r>
      <w:r>
        <w:rPr>
          <w:rFonts w:eastAsia="Times New Roman" w:cs="Times New Roman"/>
          <w:sz w:val="24"/>
          <w:shd w:fill="auto" w:val="clear"/>
        </w:rPr>
        <w:t xml:space="preserve">В случае невыполнения данного обязательства и при отсутствии соглашения Сторон об ином Заказчик вправе удерживать 10% (десять процентов) от стоимости выполненных работ при выплате каждого платежа, выплачиваемого Заказчиком Подрядчику, в качестве гарантийного удержания. При этом в счетах на оплату, выставленных Подрядчиком, должна быть отдельно выделена сумма Обеспечительного платежа. </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shd w:fill="auto" w:val="clear"/>
        </w:rPr>
      </w:r>
    </w:p>
    <w:p>
      <w:pPr>
        <w:pStyle w:val="ListParagraph"/>
        <w:numPr>
          <w:ilvl w:val="0"/>
          <w:numId w:val="0"/>
        </w:numPr>
        <w:shd w:val="clear" w:color="auto" w:fill="FFFFFF"/>
        <w:tabs>
          <w:tab w:val="clear" w:pos="709"/>
          <w:tab w:val="left" w:pos="1418" w:leader="none"/>
        </w:tabs>
        <w:ind w:left="0" w:right="0" w:hanging="0"/>
        <w:jc w:val="both"/>
        <w:rPr>
          <w:highlight w:val="none"/>
          <w:shd w:fill="auto" w:val="clear"/>
        </w:rPr>
      </w:pPr>
      <w:r>
        <w:rPr>
          <w:rFonts w:eastAsia="Times New Roman" w:cs="Times New Roman"/>
          <w:sz w:val="24"/>
          <w:shd w:fill="auto" w:val="clear"/>
        </w:rPr>
        <w:t xml:space="preserve">           </w:t>
      </w:r>
      <w:r>
        <w:rPr>
          <w:rFonts w:eastAsia="Times New Roman" w:cs="Times New Roman"/>
          <w:sz w:val="24"/>
          <w:shd w:fill="auto" w:val="clear"/>
        </w:rPr>
        <w:t>Выплата Обеспечительного платежа производится в течение 30 (тридцать) календарных / 7 (семи) рабочих дней для СМСП с даты получения Заказчиком счета, выставленного Подрядчиком, но не ранее 70 (семидесяти) календарных дней с даты подписания Сторонами Акта КС-14 по Объекту.</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rFonts w:eastAsia="Times New Roman" w:cs="Times New Roman"/>
          <w:sz w:val="24"/>
          <w:shd w:fill="auto" w:val="clear"/>
        </w:rPr>
        <w:t xml:space="preserve">          </w:t>
      </w:r>
      <w:r>
        <w:rPr>
          <w:rFonts w:eastAsia="Times New Roman" w:cs="Times New Roman"/>
          <w:sz w:val="24"/>
          <w:shd w:fill="auto" w:val="clear"/>
        </w:rPr>
        <w:t>В случае не 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10 (десять) процентов от стоимости выполненных работ при выплате каждого платежа, выплачиваемого Заказчиком Подрядчику, в качестве гарантийного удержания. При этом в счетах на оплату, выставленных Подрядчиком, должна быть отдельно выделена сумма Обеспечительного платежа.</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rFonts w:eastAsia="Times New Roman" w:cs="Times New Roman"/>
          <w:sz w:val="24"/>
          <w:shd w:fill="auto" w:val="clear"/>
        </w:rPr>
        <w:t xml:space="preserve">       </w:t>
      </w:r>
      <w:r>
        <w:rPr>
          <w:rFonts w:eastAsia="Times New Roman" w:cs="Times New Roman"/>
          <w:sz w:val="24"/>
          <w:shd w:fill="auto" w:val="clear"/>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КС-14  по Объекту. </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rFonts w:eastAsia="Times New Roman" w:cs="Times New Roman"/>
          <w:sz w:val="24"/>
          <w:shd w:fill="auto" w:val="clear"/>
        </w:rPr>
        <w:t xml:space="preserve">     </w:t>
      </w:r>
      <w:r>
        <w:rPr>
          <w:rFonts w:eastAsia="Times New Roman" w:cs="Times New Roman"/>
          <w:sz w:val="24"/>
          <w:shd w:fill="auto" w:val="clea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numPr>
          <w:ilvl w:val="0"/>
          <w:numId w:val="0"/>
        </w:numPr>
        <w:shd w:val="clear" w:color="auto" w:fill="FFFFFF"/>
        <w:tabs>
          <w:tab w:val="clear" w:pos="709"/>
          <w:tab w:val="left" w:pos="1418" w:leader="none"/>
        </w:tabs>
        <w:ind w:left="0" w:hanging="0"/>
        <w:jc w:val="both"/>
        <w:rPr>
          <w:highlight w:val="none"/>
          <w:shd w:fill="auto" w:val="clear"/>
        </w:rPr>
      </w:pPr>
      <w:r>
        <w:rPr>
          <w:rFonts w:eastAsia="Times New Roman" w:cs="Times New Roman"/>
          <w:sz w:val="24"/>
          <w:shd w:fill="auto" w:val="clear"/>
        </w:rPr>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ели подрядчик не предоставил финансового обеспечения исполнения обязательств, предусмотренные пунктом</w:t>
      </w:r>
      <w:r>
        <w:rPr>
          <w:rFonts w:eastAsia="Times New Roman" w:cs="Times New Roman"/>
          <w:color w:val="000000"/>
          <w:sz w:val="24"/>
          <w:shd w:fill="auto" w:val="clear"/>
        </w:rPr>
        <w:t xml:space="preserve"> 3.3.5 </w:t>
      </w:r>
      <w:r>
        <w:rPr>
          <w:rFonts w:eastAsia="Times New Roman" w:cs="Times New Roman"/>
          <w:sz w:val="24"/>
          <w:shd w:fill="auto" w:val="clear"/>
        </w:rPr>
        <w:t>Договора, в установленный срок и при этом не приступил к исполнению обязательств по Договору.</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(Приложение № 2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(ста) процентов от стоимости непредвиденных работ и затрат производится Заказчиком в течение 45 (сорока пяти) календарных / 7 (семи) рабочих дней для СМСП  с даты подписания Акта КС-2 и Справки КС-3 на основании счета, выставленного Подрядчиком, Стоимость непредвиденных работ и затрат включается в общую сумму Акта КС-2, подписываемого Сторонами в соответствии с пунктом 4.3 Договора</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Стоимость Давальческих материалов и запасных частей, указанных в Приложении № 1.2 к Договору, включается справочно в Акт КС-2 (Приложение № 11.1 к Договору) по цене, указанной в Накладной на отпуск материалов на сторону, оформленной по форме М-15 (Приложение № 15 к Договору).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shd w:fill="auto" w:val="clear"/>
        </w:rPr>
        <w:t xml:space="preserve">Затраты по утилизации строительного мусора определяются по фактическим расходам в пределах учтенной в смете величины, с предоставлением отчетных документов. </w:t>
      </w:r>
    </w:p>
    <w:p>
      <w:pPr>
        <w:pStyle w:val="ListParagraph"/>
        <w:numPr>
          <w:ilvl w:val="2"/>
          <w:numId w:val="3"/>
        </w:numPr>
        <w:shd w:val="clear" w:color="auto" w:fill="FFFFFF"/>
        <w:tabs>
          <w:tab w:val="clear" w:pos="709"/>
          <w:tab w:val="left" w:pos="1418" w:leader="none"/>
        </w:tabs>
        <w:ind w:left="0" w:firstLine="709"/>
        <w:jc w:val="both"/>
        <w:rPr>
          <w:highlight w:val="none"/>
          <w:shd w:fill="auto" w:val="clear"/>
        </w:rPr>
      </w:pPr>
      <w:r>
        <w:rPr>
          <w:bCs/>
          <w:shd w:fill="auto" w:val="clear"/>
        </w:rPr>
        <w:t>На стадии закрытия актов выполненных работ резерв средств на непредвиденные работы и затраты в процентах не оплачивается. Данный резерв предназначен для возмещения стоимости работ и затрат, потребность в которых может возникнуть в процессе производства работ, и подлежит оплате на основании акта на выполнение дополнительных работ, дополнительной сметы, составленной по аналогии с основной сметой Договора подряда.</w:t>
      </w:r>
    </w:p>
    <w:p>
      <w:pPr>
        <w:pStyle w:val="ListParagraph"/>
        <w:numPr>
          <w:ilvl w:val="1"/>
          <w:numId w:val="21"/>
        </w:numPr>
        <w:shd w:val="clear" w:color="auto" w:fill="FFFFFF"/>
        <w:ind w:left="0" w:firstLine="709"/>
        <w:jc w:val="both"/>
        <w:rPr>
          <w:highlight w:val="none"/>
          <w:shd w:fill="auto" w:val="clear"/>
        </w:rPr>
      </w:pPr>
      <w:r>
        <w:rPr>
          <w:shd w:fill="auto" w:val="clear"/>
        </w:rPr>
        <w:t xml:space="preserve">Затраты на командировочные расходы на стадии выполнения, определяются по фактическим затратам в пределах учтенной в смете величины, с учетом суточных в размере 700 рублей в сутки. </w:t>
      </w:r>
      <w:r>
        <w:rPr>
          <w:bCs/>
          <w:shd w:fill="auto" w:val="clear"/>
        </w:rPr>
        <w:t>Командировочные расходы включаются в стоимость Работ в соответствии с расчетом, прилагаемым к Сводному сметному расчету (Приложение № 2 к Договору).Размер расходов, связанных со служебными командировками, определяется коллективным договором и/или локальным нормативным актом Подрядчика, но не выше учтенной в сметном расчете величины, при этом размер суточных не должен превышать 700 руб/сут. Оплата командировочных расходов производиться Заказчиком в порядке, установленном Договора для оплаты стоимости работ. Подрядчик обязан предоставлять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Индексация Цены Договора не допускается.</w:t>
      </w:r>
    </w:p>
    <w:p>
      <w:pPr>
        <w:pStyle w:val="Normal"/>
        <w:shd w:val="clear" w:color="auto" w:fill="FFFFFF"/>
        <w:tabs>
          <w:tab w:val="clear" w:pos="709"/>
          <w:tab w:val="left" w:pos="1134" w:leader="none"/>
        </w:tabs>
        <w:ind w:left="2204" w:hanging="0"/>
        <w:jc w:val="both"/>
        <w:rPr>
          <w:highlight w:val="none"/>
          <w:shd w:fill="auto" w:val="clear"/>
        </w:rPr>
      </w:pPr>
      <w:r>
        <w:rPr>
          <w:shd w:fill="auto" w:val="clear"/>
        </w:rPr>
      </w:r>
    </w:p>
    <w:p>
      <w:pPr>
        <w:pStyle w:val="ListParagraph"/>
        <w:numPr>
          <w:ilvl w:val="0"/>
          <w:numId w:val="3"/>
        </w:numPr>
        <w:shd w:val="clear" w:color="auto" w:fill="FFFFFF"/>
        <w:tabs>
          <w:tab w:val="clear" w:pos="709"/>
          <w:tab w:val="left" w:pos="284" w:leader="none"/>
        </w:tabs>
        <w:ind w:left="0" w:hanging="0"/>
        <w:jc w:val="center"/>
        <w:rPr>
          <w:highlight w:val="none"/>
          <w:shd w:fill="auto" w:val="clear"/>
        </w:rPr>
      </w:pPr>
      <w:r>
        <w:rPr>
          <w:b/>
          <w:bCs/>
          <w:shd w:fill="auto" w:val="clear"/>
        </w:rPr>
        <w:t>Порядок сдачи-приемки Работ</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8" w:name="_Ref361336754"/>
      <w:bookmarkStart w:id="9" w:name="_Ref361335138"/>
      <w:bookmarkStart w:id="10" w:name="_Ref373242517"/>
      <w:r>
        <w:rPr>
          <w:bCs/>
          <w:shd w:fill="auto" w:val="clear"/>
        </w:rPr>
        <w:t xml:space="preserve">По завершении промежуточных (ежемесячных) объёмов выполненных  Работ </w:t>
      </w:r>
      <w:r>
        <w:rPr>
          <w:rFonts w:eastAsia="Times New Roman" w:cs="Times New Roman"/>
          <w:bCs/>
          <w:sz w:val="24"/>
          <w:szCs w:val="24"/>
          <w:shd w:fill="auto" w:val="clear"/>
        </w:rPr>
        <w:t>указанных в графике выполнения и финансирования работ (Приложение № 3 к Договору)</w:t>
      </w:r>
      <w:r>
        <w:rPr>
          <w:bCs/>
          <w:shd w:fill="auto" w:val="clear"/>
        </w:rPr>
        <w:t xml:space="preserve"> Подрядчик в течение 5 (пяти) рабочих дней представляет Заказчику подписанный со своей стороны в 4 (четырех) экземпляров Акт освидетельствования выполненных работ по форме Приложение № 7 к Договору,</w:t>
      </w:r>
      <w:r>
        <w:rPr>
          <w:shd w:fill="auto" w:val="clear"/>
        </w:rPr>
        <w:t xml:space="preserve"> </w:t>
      </w:r>
      <w:r>
        <w:rPr>
          <w:bCs/>
          <w:shd w:fill="auto" w:val="clear"/>
        </w:rPr>
        <w:t xml:space="preserve">с приложением Приемо-сдаточной и Исполнительной документации </w:t>
      </w:r>
      <w:r>
        <w:rPr>
          <w:shd w:fill="auto" w:val="clear"/>
        </w:rPr>
        <w:t>в 3 (трех) экземплярах.</w:t>
      </w:r>
      <w:bookmarkEnd w:id="8"/>
      <w:bookmarkEnd w:id="9"/>
      <w:bookmarkEnd w:id="10"/>
    </w:p>
    <w:p>
      <w:pPr>
        <w:pStyle w:val="ListParagraph"/>
        <w:shd w:val="clear" w:color="auto" w:fill="FFFFFF"/>
        <w:tabs>
          <w:tab w:val="clear" w:pos="709"/>
          <w:tab w:val="left" w:pos="0" w:leader="none"/>
          <w:tab w:val="left" w:pos="1134" w:leader="none"/>
        </w:tabs>
        <w:spacing w:lineRule="auto" w:line="240"/>
        <w:ind w:left="-142" w:firstLine="709"/>
        <w:jc w:val="both"/>
        <w:rPr>
          <w:highlight w:val="none"/>
          <w:shd w:fill="auto" w:val="clear"/>
        </w:rPr>
      </w:pPr>
      <w:r>
        <w:rPr>
          <w:shd w:fill="auto" w:val="clear"/>
        </w:rPr>
        <w:tab/>
        <w:t>Приемка Заказчиком промежуточных (ежемесячных) объемов выполненных работ означает согласие Заказчика с их качеством и право Подрядчика на получение оплаты за выполненные работы, при этом ответственность за сохранность результатов работ остается за Подрядчиком до полного окончания всех работ по Договору и подписания документов, указанных в пункте 4.2.</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По завершении выполнения Работ в отношении </w:t>
      </w:r>
      <w:r>
        <w:rPr>
          <w:shd w:fill="auto" w:val="clear"/>
        </w:rPr>
        <w:t>каждого</w:t>
      </w:r>
      <w:r>
        <w:rPr>
          <w:bCs/>
          <w:shd w:fill="auto" w:val="clear"/>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6"/>
        </w:numPr>
        <w:shd w:val="clear" w:color="auto" w:fill="FFFFFF"/>
        <w:tabs>
          <w:tab w:val="clear" w:pos="709"/>
          <w:tab w:val="left" w:pos="1418" w:leader="none"/>
        </w:tabs>
        <w:ind w:left="0" w:firstLine="709"/>
        <w:jc w:val="both"/>
        <w:rPr>
          <w:highlight w:val="none"/>
          <w:shd w:fill="auto" w:val="clear"/>
        </w:rPr>
      </w:pPr>
      <w:r>
        <w:rPr>
          <w:shd w:fill="auto" w:val="clear"/>
        </w:rPr>
        <w:t>Акт КС-2 по форме Приложения 13.1, Справку КС-3 по форме Приложения 11.2 в отношении каждого Объекта</w:t>
      </w:r>
      <w:r>
        <w:rPr>
          <w:bCs/>
          <w:shd w:fill="auto" w:val="clear"/>
        </w:rPr>
        <w:t xml:space="preserve"> н</w:t>
      </w:r>
      <w:r>
        <w:rPr>
          <w:shd w:fill="auto" w:val="clear"/>
        </w:rPr>
        <w:t>а весь объем выполненных работ по Объекту в 4 (четырех) экземплярах.</w:t>
      </w:r>
    </w:p>
    <w:p>
      <w:pPr>
        <w:pStyle w:val="ListParagraph"/>
        <w:numPr>
          <w:ilvl w:val="0"/>
          <w:numId w:val="16"/>
        </w:numPr>
        <w:shd w:val="clear" w:color="auto" w:fill="FFFFFF"/>
        <w:tabs>
          <w:tab w:val="clear" w:pos="709"/>
          <w:tab w:val="left" w:pos="1418" w:leader="none"/>
        </w:tabs>
        <w:ind w:left="0" w:firstLine="709"/>
        <w:jc w:val="both"/>
        <w:rPr>
          <w:highlight w:val="none"/>
          <w:shd w:fill="auto" w:val="clear"/>
        </w:rPr>
      </w:pPr>
      <w:r>
        <w:rPr>
          <w:bCs/>
          <w:shd w:fill="auto" w:val="clear"/>
        </w:rPr>
        <w:t xml:space="preserve">Приемо-сдаточной и Исполнительной документации </w:t>
      </w:r>
      <w:r>
        <w:rPr>
          <w:shd w:fill="auto" w:val="clear"/>
        </w:rPr>
        <w:t xml:space="preserve">в 3 (трех) экземплярах; </w:t>
      </w:r>
    </w:p>
    <w:p>
      <w:pPr>
        <w:pStyle w:val="ListParagraph"/>
        <w:numPr>
          <w:ilvl w:val="0"/>
          <w:numId w:val="16"/>
        </w:numPr>
        <w:shd w:val="clear" w:color="auto" w:fill="FFFFFF"/>
        <w:tabs>
          <w:tab w:val="clear" w:pos="709"/>
          <w:tab w:val="left" w:pos="1418" w:leader="none"/>
        </w:tabs>
        <w:ind w:left="0" w:firstLine="709"/>
        <w:jc w:val="both"/>
        <w:rPr>
          <w:highlight w:val="none"/>
          <w:shd w:fill="auto" w:val="clear"/>
        </w:rPr>
      </w:pPr>
      <w:r>
        <w:rPr>
          <w:bCs/>
          <w:shd w:fill="auto" w:val="clear"/>
        </w:rPr>
        <w:t>А</w:t>
      </w:r>
      <w:r>
        <w:rPr>
          <w:shd w:fill="auto" w:val="clear"/>
        </w:rPr>
        <w:t>кт КС-14 в 2 (двух) экземплярах;</w:t>
      </w:r>
    </w:p>
    <w:p>
      <w:pPr>
        <w:pStyle w:val="ListParagraph"/>
        <w:numPr>
          <w:ilvl w:val="0"/>
          <w:numId w:val="16"/>
        </w:numPr>
        <w:shd w:val="clear" w:color="auto" w:fill="FFFFFF"/>
        <w:tabs>
          <w:tab w:val="clear" w:pos="709"/>
          <w:tab w:val="left" w:pos="1418" w:leader="none"/>
        </w:tabs>
        <w:ind w:left="0" w:firstLine="709"/>
        <w:jc w:val="both"/>
        <w:rPr>
          <w:highlight w:val="none"/>
          <w:shd w:fill="auto" w:val="clear"/>
        </w:rPr>
      </w:pPr>
      <w:r>
        <w:rPr>
          <w:shd w:fill="auto" w:val="clear"/>
        </w:rPr>
        <w:t>Отчет по форме М-29 (Приложение № 13 к Договору) в 2 (двух) экземплярах.</w:t>
      </w:r>
    </w:p>
    <w:p>
      <w:pPr>
        <w:pStyle w:val="ListParagraph"/>
        <w:numPr>
          <w:ilvl w:val="1"/>
          <w:numId w:val="3"/>
        </w:numPr>
        <w:shd w:val="clear" w:color="auto" w:fill="FFFFFF"/>
        <w:tabs>
          <w:tab w:val="clear" w:pos="709"/>
          <w:tab w:val="left" w:pos="568" w:leader="none"/>
          <w:tab w:val="left" w:pos="1134" w:leader="none"/>
        </w:tabs>
        <w:ind w:left="0" w:firstLine="709"/>
        <w:jc w:val="both"/>
        <w:rPr>
          <w:highlight w:val="none"/>
          <w:shd w:fill="auto" w:val="clear"/>
        </w:rPr>
      </w:pPr>
      <w:r>
        <w:rPr>
          <w:bCs/>
          <w:shd w:fill="auto" w:val="clear"/>
        </w:rPr>
        <w:t xml:space="preserve">В течение 5 (пяти)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 а также срок на их устранение. </w:t>
      </w:r>
    </w:p>
    <w:p>
      <w:pPr>
        <w:pStyle w:val="ListParagraph"/>
        <w:numPr>
          <w:ilvl w:val="1"/>
          <w:numId w:val="3"/>
        </w:numPr>
        <w:shd w:val="clear" w:color="auto" w:fill="FFFFFF"/>
        <w:tabs>
          <w:tab w:val="clear" w:pos="709"/>
          <w:tab w:val="left" w:pos="568" w:leader="none"/>
          <w:tab w:val="left" w:pos="1134" w:leader="none"/>
        </w:tabs>
        <w:ind w:left="0" w:firstLine="709"/>
        <w:jc w:val="both"/>
        <w:rPr>
          <w:highlight w:val="none"/>
          <w:shd w:fill="auto" w:val="clear"/>
        </w:rPr>
      </w:pPr>
      <w:r>
        <w:rPr>
          <w:bCs/>
          <w:shd w:fill="auto" w:val="clear"/>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widowControl/>
        <w:numPr>
          <w:ilvl w:val="1"/>
          <w:numId w:val="3"/>
        </w:numPr>
        <w:shd w:val="clear" w:color="auto" w:fill="FFFFFF"/>
        <w:tabs>
          <w:tab w:val="clear" w:pos="709"/>
          <w:tab w:val="left" w:pos="1134" w:leader="none"/>
        </w:tabs>
        <w:suppressAutoHyphens w:val="true"/>
        <w:bidi w:val="0"/>
        <w:spacing w:lineRule="auto" w:line="240" w:before="0" w:after="0"/>
        <w:ind w:left="0" w:right="0" w:firstLine="709"/>
        <w:contextualSpacing/>
        <w:jc w:val="both"/>
        <w:rPr/>
      </w:pPr>
      <w:r>
        <w:rPr>
          <w:bCs/>
          <w:shd w:fill="auto" w:val="clear"/>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3"/>
        </w:numPr>
        <w:shd w:val="clear" w:color="auto" w:fill="FFFFFF"/>
        <w:tabs>
          <w:tab w:val="clear" w:pos="709"/>
          <w:tab w:val="left" w:pos="1134" w:leader="none"/>
        </w:tabs>
        <w:spacing w:lineRule="auto" w:line="240"/>
        <w:ind w:left="-142" w:firstLine="709"/>
        <w:jc w:val="both"/>
        <w:rPr/>
      </w:pPr>
      <w:r>
        <w:rPr>
          <w:bCs/>
          <w:shd w:fill="auto" w:val="clear"/>
        </w:rPr>
        <w:t xml:space="preserve">Повторная приемка Заказчиком выполненных Работ после устранения недостатков, осуществляется в порядке, предусмотренном пунктами 4.1-4.2 Договора.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Если Подрядчик не устранит недостатки, несоответствия и / или дефекты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Подрядчик ежемесячно в срок до 23 числа отчетного месяца направляет гарантийное письмо Заказчику об объемах выполненных работ, которые будут предъявлены Заказчику за текущий (отчетный) месяц, с указанием сумм для предстоящего финансирования, либо направляет письменное уведомление Заказчику об отсутствии ожидаемого выполнения.</w:t>
      </w:r>
    </w:p>
    <w:p>
      <w:pPr>
        <w:pStyle w:val="ListParagraph"/>
        <w:shd w:val="clear" w:color="auto" w:fill="FFFFFF"/>
        <w:tabs>
          <w:tab w:val="clear" w:pos="709"/>
          <w:tab w:val="left" w:pos="1134" w:leader="none"/>
        </w:tabs>
        <w:ind w:left="567" w:hanging="0"/>
        <w:jc w:val="both"/>
        <w:rPr>
          <w:bCs/>
          <w:highlight w:val="none"/>
          <w:shd w:fill="auto" w:val="clear"/>
        </w:rPr>
      </w:pPr>
      <w:r>
        <w:rPr>
          <w:bCs/>
          <w:shd w:fill="auto" w:val="clear"/>
        </w:rPr>
      </w:r>
    </w:p>
    <w:p>
      <w:pPr>
        <w:pStyle w:val="ListParagraph"/>
        <w:numPr>
          <w:ilvl w:val="0"/>
          <w:numId w:val="3"/>
        </w:numPr>
        <w:shd w:val="clear" w:color="auto" w:fill="FFFFFF"/>
        <w:tabs>
          <w:tab w:val="clear" w:pos="709"/>
          <w:tab w:val="left" w:pos="284" w:leader="none"/>
        </w:tabs>
        <w:ind w:left="0" w:hanging="0"/>
        <w:jc w:val="center"/>
        <w:rPr>
          <w:highlight w:val="none"/>
          <w:shd w:fill="auto" w:val="clear"/>
        </w:rPr>
      </w:pPr>
      <w:r>
        <w:rPr>
          <w:b/>
          <w:bCs/>
          <w:shd w:fill="auto" w:val="clear"/>
        </w:rPr>
        <w:t>Право собственности и переход рисков</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shd w:fill="auto" w:val="clear"/>
        </w:rPr>
        <w:t>КС-14</w:t>
      </w:r>
      <w:r>
        <w:rPr>
          <w:bCs/>
          <w:shd w:fill="auto" w:val="clear"/>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Право собственности на Результат Работ в отношении каждого Объекта возникает у Заказчика с момента подписания Сторонами Акта КС-14.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Подписание</w:t>
      </w:r>
      <w:r>
        <w:rPr>
          <w:iCs/>
          <w:shd w:fill="auto" w:val="clear"/>
        </w:rPr>
        <w:t xml:space="preserve"> Заказчиком </w:t>
      </w:r>
      <w:r>
        <w:rPr>
          <w:bCs/>
          <w:shd w:fill="auto" w:val="clear"/>
        </w:rPr>
        <w:t xml:space="preserve">Акта </w:t>
      </w:r>
      <w:r>
        <w:rPr>
          <w:shd w:fill="auto" w:val="clear"/>
        </w:rPr>
        <w:t xml:space="preserve">КС-14 </w:t>
      </w:r>
      <w:r>
        <w:rPr>
          <w:iCs/>
          <w:shd w:fill="auto" w:val="clear"/>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Передача Заказчиком Давальческих материалов и запасных частей, указанных в Приложении № 1.2 к Договору, осуществляется без перехода права собственности на данное имущество к Подрядчику.</w:t>
      </w:r>
    </w:p>
    <w:p>
      <w:pPr>
        <w:pStyle w:val="ListParagraph"/>
        <w:numPr>
          <w:ilvl w:val="0"/>
          <w:numId w:val="0"/>
        </w:numPr>
        <w:shd w:val="clear" w:color="auto" w:fill="FFFFFF"/>
        <w:tabs>
          <w:tab w:val="clear" w:pos="709"/>
          <w:tab w:val="left" w:pos="284" w:leader="none"/>
        </w:tabs>
        <w:ind w:left="0" w:hanging="0"/>
        <w:jc w:val="center"/>
        <w:rPr>
          <w:b/>
          <w:bCs/>
          <w:highlight w:val="none"/>
          <w:shd w:fill="auto" w:val="clear"/>
        </w:rPr>
      </w:pPr>
      <w:r>
        <w:rPr>
          <w:b/>
          <w:bCs/>
          <w:shd w:fill="auto" w:val="clear"/>
        </w:rPr>
      </w:r>
    </w:p>
    <w:p>
      <w:pPr>
        <w:pStyle w:val="ListParagraph"/>
        <w:numPr>
          <w:ilvl w:val="0"/>
          <w:numId w:val="3"/>
        </w:numPr>
        <w:shd w:val="clear" w:color="auto" w:fill="FFFFFF"/>
        <w:tabs>
          <w:tab w:val="clear" w:pos="709"/>
          <w:tab w:val="left" w:pos="284" w:leader="none"/>
        </w:tabs>
        <w:ind w:left="0" w:hanging="0"/>
        <w:jc w:val="center"/>
        <w:rPr>
          <w:highlight w:val="none"/>
          <w:shd w:fill="auto" w:val="clear"/>
        </w:rPr>
      </w:pPr>
      <w:r>
        <w:rPr>
          <w:b/>
          <w:bCs/>
          <w:shd w:fill="auto" w:val="clear"/>
        </w:rPr>
        <w:t>Банковские гарантии</w:t>
      </w:r>
    </w:p>
    <w:p>
      <w:pPr>
        <w:pStyle w:val="ListParagraph"/>
        <w:shd w:val="clear" w:color="auto" w:fill="FFFFFF"/>
        <w:tabs>
          <w:tab w:val="clear" w:pos="709"/>
          <w:tab w:val="left" w:pos="0" w:leader="none"/>
        </w:tabs>
        <w:ind w:left="0" w:hanging="0"/>
        <w:jc w:val="both"/>
        <w:rPr>
          <w:highlight w:val="none"/>
          <w:shd w:fill="auto" w:val="clear"/>
        </w:rPr>
      </w:pPr>
      <w:r>
        <w:rPr>
          <w:bCs/>
          <w:shd w:fill="auto" w:val="clear"/>
        </w:rPr>
        <w:tab/>
        <w:t>6.1. Подрядчик предварительно направляет Заказчику проект Банковской гарантии надлежащего исполнения обязательств (далее- Бансковская гарантия) с приложением заключаемого договора с банком-гарантом.</w:t>
      </w:r>
    </w:p>
    <w:p>
      <w:pPr>
        <w:pStyle w:val="ListParagraph"/>
        <w:ind w:left="0" w:firstLine="709"/>
        <w:jc w:val="both"/>
        <w:rPr>
          <w:highlight w:val="none"/>
          <w:shd w:fill="auto" w:val="clear"/>
        </w:rPr>
      </w:pPr>
      <w:r>
        <w:rPr>
          <w:bCs/>
          <w:shd w:fill="auto" w:val="clear"/>
        </w:rPr>
        <w:t>6.2. Под Банковской гарантией  понимается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6.2.1. Банковская гарантия должна быть безотзывной и безусловной (гарантия по первому требованию);</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6.2.2. Бенефициар по Банковской гарантии – Заказчик, принципал – Подрядчик;</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6.2.3. Сумма Банковской гарантии должна быть выражена в валюте расчетов по Договору;</w:t>
      </w:r>
    </w:p>
    <w:p>
      <w:pPr>
        <w:pStyle w:val="ListParagraph"/>
        <w:tabs>
          <w:tab w:val="clear" w:pos="709"/>
          <w:tab w:val="left" w:pos="1134" w:leader="none"/>
        </w:tabs>
        <w:ind w:left="0" w:firstLine="709"/>
        <w:jc w:val="both"/>
        <w:rPr>
          <w:highlight w:val="none"/>
          <w:shd w:fill="auto" w:val="clear"/>
        </w:rPr>
      </w:pPr>
      <w:r>
        <w:rPr>
          <w:bCs/>
          <w:shd w:fill="auto" w:val="clear"/>
        </w:rPr>
        <w:t xml:space="preserve">6.2.4. 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pPr>
        <w:pStyle w:val="Normal"/>
        <w:shd w:val="clear" w:color="auto" w:fill="FFFFFF"/>
        <w:tabs>
          <w:tab w:val="clear" w:pos="709"/>
          <w:tab w:val="left" w:pos="1418" w:leader="none"/>
        </w:tabs>
        <w:spacing w:lineRule="auto" w:line="240" w:before="0" w:after="0"/>
        <w:ind w:left="0" w:firstLine="709"/>
        <w:contextualSpacing/>
        <w:rPr>
          <w:highlight w:val="none"/>
          <w:shd w:fill="auto" w:val="clear"/>
        </w:rPr>
      </w:pPr>
      <w:r>
        <w:rPr>
          <w:bCs/>
          <w:sz w:val="24"/>
          <w:szCs w:val="24"/>
          <w:shd w:fill="auto" w:val="clear"/>
        </w:rPr>
        <w:t xml:space="preserve">6.2.5. Сумма Банковской гарантии надлежащего исполнения обязательств </w:t>
        <w:br/>
        <w:t xml:space="preserve">по Договору в отношении Объекта - не менее 10 (десяти) процентов от Цены Договора. </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6.2.6.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Pr>
          <w:shd w:fill="auto" w:val="clear"/>
        </w:rPr>
        <w:t xml:space="preserve"> </w:t>
      </w:r>
      <w:r>
        <w:rPr>
          <w:bCs/>
          <w:shd w:fill="auto" w:val="clear"/>
        </w:rPr>
        <w:t>как полностью, так и частично, с указанием на существо допущенных Подрядчиком нарушений, в том числе в случаях:</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6.3. отказа Подрядчика от исполнения обязательств по Договору, в том числе одностороннего отказа от Договора;</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6.4. отказа Подрядчика от возврата неотработанного аванса при досрочном прекращении Договора/признании Договора недействительным;</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6.5. нарушения Подрядчиком сроков выполнения Работ, установленных Графиком выполнения и финансирования Работ (Приложение № 2 к Договору) более, чем на 60 (шестьдесят) календарных дней;</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6.6. 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6.7. прекращения членства в СРО, основанной на членстве лиц, осуществляющих строительство;</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6.8. введения арбитражным судом процедуры несостоятельности (банкротства) в отношении Подрядчика;</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6.9.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6.10. признания Договора недействительным по причинам отсутствия необходимых корпоративных одобрений у Подрядчика;</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6.11.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6.12. Вместе с требованием о предъявлении суммы обеспечения к оплате Заказчик направляет Банку-Гаранту Банковскую гарантию (копия / оригинал</w:t>
      </w:r>
      <w:r>
        <w:rPr>
          <w:rStyle w:val="FootnoteReference"/>
          <w:bCs/>
          <w:shd w:fill="auto" w:val="clear"/>
        </w:rPr>
        <w:footnoteReference w:id="2"/>
      </w:r>
      <w:r>
        <w:rPr>
          <w:bCs/>
          <w:shd w:fill="auto" w:val="clear"/>
        </w:rPr>
        <w:t>).</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6.13. 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6.13.1. Платеж по Банковской гарантии – осуществляется Банком-Гарантом в течение 10 (десяти) рабочих дней после обращения Заказчика;</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6.13.2. 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6.13.3. 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6.13.4. 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 компетентного разрешать споры из Банковской гарантии;</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6.13.5. Банковская гарантия не должна содержать условий или требований, противоречащих требованиям, указанным в пунктах 6.2.1-6.2.10 Договора, или делающих такие требования неисполнимыми.</w:t>
      </w:r>
    </w:p>
    <w:p>
      <w:pPr>
        <w:pStyle w:val="ListParagraph"/>
        <w:shd w:val="clear" w:color="auto" w:fill="FFFFFF"/>
        <w:tabs>
          <w:tab w:val="clear" w:pos="709"/>
          <w:tab w:val="left" w:pos="1418" w:leader="none"/>
        </w:tabs>
        <w:ind w:left="0" w:firstLine="709"/>
        <w:jc w:val="both"/>
        <w:rPr>
          <w:highlight w:val="none"/>
          <w:shd w:fill="auto" w:val="clear"/>
        </w:rPr>
      </w:pPr>
      <w:r>
        <w:rPr>
          <w:bCs/>
          <w:sz w:val="24"/>
          <w:szCs w:val="24"/>
          <w:shd w:fill="auto" w:val="clear"/>
        </w:rPr>
        <w:t>6.14. Банк, выдавший Банковскую гарантию, должен соответствовать следующим критериям (Приложение №8 к Договору):</w:t>
      </w:r>
    </w:p>
    <w:p>
      <w:pPr>
        <w:pStyle w:val="ListParagraph"/>
        <w:shd w:val="clear" w:color="auto" w:fill="FFFFFF"/>
        <w:tabs>
          <w:tab w:val="clear" w:pos="709"/>
          <w:tab w:val="left" w:pos="1418" w:leader="none"/>
        </w:tabs>
        <w:ind w:left="0" w:firstLine="709"/>
        <w:jc w:val="both"/>
        <w:rPr>
          <w:highlight w:val="none"/>
          <w:shd w:fill="auto" w:val="clear"/>
        </w:rPr>
      </w:pPr>
      <w:r>
        <w:rPr>
          <w:bCs/>
          <w:sz w:val="24"/>
          <w:szCs w:val="24"/>
          <w:shd w:fill="auto" w:val="clear"/>
        </w:rPr>
        <w:t xml:space="preserve">6.14.1. </w:t>
      </w:r>
      <w:r>
        <w:rPr>
          <w:shd w:fill="auto" w:val="clear"/>
        </w:rPr>
        <w:t>входить в действующий на дату предоставления банковской гарантии Перечень Банков-Гарантов, группы Русгидро;</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6.14.2. иметь отделение (филиал) по месту нахождения Заказчика или филиала Заказчика, для нужд которого заключен Договор.</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6.15. 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pPr>
        <w:pStyle w:val="ListParagraph"/>
        <w:shd w:val="clear" w:color="auto" w:fill="FFFFFF"/>
        <w:tabs>
          <w:tab w:val="clear" w:pos="709"/>
          <w:tab w:val="left" w:pos="1418" w:leader="none"/>
        </w:tabs>
        <w:ind w:left="0" w:firstLine="709"/>
        <w:jc w:val="both"/>
        <w:rPr>
          <w:highlight w:val="none"/>
          <w:shd w:fill="auto" w:val="clear"/>
        </w:rPr>
      </w:pPr>
      <w:r>
        <w:rPr>
          <w:bCs/>
          <w:shd w:fill="auto" w:val="clear"/>
        </w:rPr>
        <w:t>6.15.1.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при условии подтверждения их выполнения.</w:t>
      </w:r>
    </w:p>
    <w:p>
      <w:pPr>
        <w:pStyle w:val="ListParagraph"/>
        <w:shd w:val="clear" w:color="auto" w:fill="FFFFFF"/>
        <w:tabs>
          <w:tab w:val="clear" w:pos="709"/>
          <w:tab w:val="left" w:pos="1134" w:leader="none"/>
        </w:tabs>
        <w:ind w:left="0" w:firstLine="709"/>
        <w:jc w:val="both"/>
        <w:rPr>
          <w:highlight w:val="none"/>
          <w:shd w:fill="auto" w:val="clear"/>
        </w:rPr>
      </w:pPr>
      <w:r>
        <w:rPr>
          <w:bCs/>
          <w:shd w:fill="auto" w:val="clear"/>
        </w:rPr>
        <w:t>6.15.2. 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pPr>
        <w:pStyle w:val="ListParagraph"/>
        <w:shd w:val="clear" w:color="auto" w:fill="FFFFFF"/>
        <w:tabs>
          <w:tab w:val="clear" w:pos="709"/>
          <w:tab w:val="left" w:pos="1134" w:leader="none"/>
        </w:tabs>
        <w:ind w:left="0" w:firstLine="709"/>
        <w:jc w:val="both"/>
        <w:rPr>
          <w:highlight w:val="none"/>
          <w:shd w:fill="auto" w:val="clear"/>
        </w:rPr>
      </w:pPr>
      <w:r>
        <w:rPr>
          <w:bCs/>
          <w:shd w:fill="auto" w:val="clear"/>
        </w:rPr>
        <w:t>6.15.3. В случаях</w:t>
      </w:r>
      <w:r>
        <w:rPr>
          <w:bCs/>
          <w:shd w:fill="auto" w:val="clear"/>
          <w:lang w:val="en-US"/>
        </w:rPr>
        <w:t>:</w:t>
      </w:r>
      <w:r>
        <w:rPr>
          <w:bCs/>
          <w:shd w:fill="auto" w:val="clear"/>
        </w:rPr>
        <w:t xml:space="preserve"> </w:t>
      </w:r>
    </w:p>
    <w:p>
      <w:pPr>
        <w:pStyle w:val="ListParagraph"/>
        <w:shd w:val="clear" w:color="auto" w:fill="FFFFFF"/>
        <w:tabs>
          <w:tab w:val="left" w:pos="709" w:leader="none"/>
        </w:tabs>
        <w:ind w:left="0" w:firstLine="709"/>
        <w:jc w:val="both"/>
        <w:rPr>
          <w:highlight w:val="none"/>
          <w:shd w:fill="auto" w:val="clear"/>
        </w:rPr>
      </w:pPr>
      <w:r>
        <w:rPr>
          <w:bCs/>
          <w:shd w:fill="auto" w:val="clear"/>
        </w:rPr>
        <w:t xml:space="preserve">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 </w:t>
      </w:r>
    </w:p>
    <w:p>
      <w:pPr>
        <w:pStyle w:val="ListParagraph"/>
        <w:shd w:val="clear" w:color="auto" w:fill="FFFFFF"/>
        <w:tabs>
          <w:tab w:val="left" w:pos="709" w:leader="none"/>
        </w:tabs>
        <w:ind w:left="0" w:firstLine="709"/>
        <w:jc w:val="both"/>
        <w:rPr>
          <w:highlight w:val="none"/>
          <w:shd w:fill="auto" w:val="clear"/>
        </w:rPr>
      </w:pPr>
      <w:r>
        <w:rPr>
          <w:bCs/>
          <w:shd w:fill="auto" w:val="clear"/>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pPr>
        <w:pStyle w:val="ListParagraph"/>
        <w:shd w:val="clear" w:color="auto" w:fill="FFFFFF"/>
        <w:tabs>
          <w:tab w:val="left" w:pos="709" w:leader="none"/>
        </w:tabs>
        <w:ind w:left="0" w:firstLine="709"/>
        <w:jc w:val="both"/>
        <w:rPr>
          <w:highlight w:val="none"/>
          <w:shd w:fill="auto" w:val="clear"/>
        </w:rPr>
      </w:pPr>
      <w:r>
        <w:rPr>
          <w:bCs/>
          <w:shd w:fill="auto" w:val="clear"/>
        </w:rPr>
        <w:t>6.16. Подрядчик обязан предоставить Заказчику новую Банковскую гарантию</w:t>
      </w:r>
      <w:r>
        <w:rPr>
          <w:shd w:fill="auto" w:val="clear"/>
        </w:rPr>
        <w:t xml:space="preserve"> </w:t>
      </w:r>
      <w:r>
        <w:rPr>
          <w:bCs/>
          <w:shd w:fill="auto" w:val="clear"/>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pPr>
        <w:pStyle w:val="ListParagraph"/>
        <w:shd w:val="clear" w:color="auto" w:fill="FFFFFF"/>
        <w:tabs>
          <w:tab w:val="left" w:pos="709" w:leader="none"/>
        </w:tabs>
        <w:ind w:left="0" w:firstLine="709"/>
        <w:jc w:val="both"/>
        <w:rPr>
          <w:highlight w:val="none"/>
          <w:shd w:fill="auto" w:val="clear"/>
        </w:rPr>
      </w:pPr>
      <w:r>
        <w:rPr>
          <w:bCs/>
          <w:shd w:fill="auto" w:val="clear"/>
        </w:rPr>
        <w:t>6.17.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w:t>
      </w:r>
      <w:r>
        <w:rPr>
          <w:rStyle w:val="FootnoteReference"/>
          <w:bCs/>
          <w:shd w:fill="auto" w:val="clear"/>
          <w:vertAlign w:val="superscript"/>
        </w:rPr>
        <w:footnoteReference w:id="3"/>
      </w:r>
      <w:r>
        <w:rPr>
          <w:bCs/>
          <w:shd w:fill="auto" w:val="clear"/>
        </w:rPr>
        <w:t xml:space="preserve"> при выплате каждого платежа, причитающегося Подрядчику.</w:t>
      </w:r>
    </w:p>
    <w:p>
      <w:pPr>
        <w:pStyle w:val="ListParagraph"/>
        <w:shd w:val="clear" w:color="auto" w:fill="FFFFFF"/>
        <w:tabs>
          <w:tab w:val="left" w:pos="709" w:leader="none"/>
        </w:tabs>
        <w:ind w:left="0" w:firstLine="709"/>
        <w:jc w:val="both"/>
        <w:rPr>
          <w:highlight w:val="none"/>
          <w:shd w:fill="auto" w:val="clear"/>
        </w:rPr>
      </w:pPr>
      <w:r>
        <w:rPr>
          <w:shd w:fill="auto" w:val="clear"/>
        </w:rPr>
        <w:t xml:space="preserve">6.18. </w:t>
      </w:r>
      <w:r>
        <w:rPr>
          <w:bCs/>
          <w:shd w:fill="auto" w:val="clear"/>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pPr>
        <w:pStyle w:val="ListParagraph"/>
        <w:shd w:val="clear" w:color="auto" w:fill="FFFFFF"/>
        <w:tabs>
          <w:tab w:val="left" w:pos="709" w:leader="none"/>
        </w:tabs>
        <w:ind w:left="0" w:firstLine="709"/>
        <w:jc w:val="both"/>
        <w:rPr>
          <w:b w:val="false"/>
          <w:bCs w:val="false"/>
          <w:highlight w:val="none"/>
          <w:shd w:fill="auto" w:val="clear"/>
        </w:rPr>
      </w:pPr>
      <w:r>
        <w:rPr>
          <w:b w:val="false"/>
          <w:bCs w:val="false"/>
          <w:shd w:fill="auto" w:val="clear"/>
        </w:rPr>
      </w:r>
    </w:p>
    <w:p>
      <w:pPr>
        <w:pStyle w:val="ListParagraph"/>
        <w:shd w:val="clear" w:color="auto" w:fill="FFFFFF"/>
        <w:tabs>
          <w:tab w:val="left" w:pos="709" w:leader="none"/>
        </w:tabs>
        <w:ind w:left="0" w:firstLine="709"/>
        <w:jc w:val="both"/>
        <w:rPr>
          <w:b w:val="false"/>
          <w:bCs w:val="false"/>
          <w:highlight w:val="none"/>
          <w:shd w:fill="auto" w:val="clear"/>
        </w:rPr>
      </w:pPr>
      <w:r>
        <w:rPr>
          <w:b w:val="false"/>
          <w:bCs w:val="false"/>
          <w:shd w:fill="auto" w:val="clear"/>
        </w:rPr>
      </w:r>
    </w:p>
    <w:p>
      <w:pPr>
        <w:pStyle w:val="ListParagraph"/>
        <w:shd w:val="clear" w:color="auto" w:fill="FFFFFF"/>
        <w:tabs>
          <w:tab w:val="left" w:pos="709" w:leader="none"/>
        </w:tabs>
        <w:ind w:left="0" w:firstLine="709"/>
        <w:jc w:val="both"/>
        <w:rPr>
          <w:b w:val="false"/>
          <w:bCs w:val="false"/>
          <w:highlight w:val="none"/>
          <w:shd w:fill="auto" w:val="clear"/>
        </w:rPr>
      </w:pPr>
      <w:r>
        <w:rPr>
          <w:b w:val="false"/>
          <w:bCs w:val="false"/>
          <w:shd w:fill="auto" w:val="clear"/>
        </w:rPr>
      </w:r>
    </w:p>
    <w:p>
      <w:pPr>
        <w:pStyle w:val="ListParagraph"/>
        <w:numPr>
          <w:ilvl w:val="0"/>
          <w:numId w:val="3"/>
        </w:numPr>
        <w:shd w:val="clear" w:color="auto" w:fill="FFFFFF"/>
        <w:tabs>
          <w:tab w:val="clear" w:pos="709"/>
          <w:tab w:val="left" w:pos="284" w:leader="none"/>
        </w:tabs>
        <w:ind w:left="0" w:hanging="0"/>
        <w:jc w:val="center"/>
        <w:rPr>
          <w:highlight w:val="none"/>
          <w:shd w:fill="auto" w:val="clear"/>
        </w:rPr>
      </w:pPr>
      <w:r>
        <w:rPr>
          <w:b/>
          <w:bCs/>
          <w:shd w:fill="auto" w:val="clear"/>
        </w:rPr>
        <w:t>Ответственность Сторон</w:t>
      </w:r>
    </w:p>
    <w:p>
      <w:pPr>
        <w:pStyle w:val="ListParagraph"/>
        <w:numPr>
          <w:ilvl w:val="0"/>
          <w:numId w:val="0"/>
        </w:numPr>
        <w:shd w:val="clear" w:color="auto" w:fill="FFFFFF"/>
        <w:tabs>
          <w:tab w:val="clear" w:pos="709"/>
          <w:tab w:val="left" w:pos="284" w:leader="none"/>
        </w:tabs>
        <w:ind w:left="0" w:hanging="0"/>
        <w:jc w:val="both"/>
        <w:rPr/>
      </w:pPr>
      <w:r>
        <w:rPr/>
      </w:r>
    </w:p>
    <w:p>
      <w:pPr>
        <w:pStyle w:val="ListParagraph"/>
        <w:numPr>
          <w:ilvl w:val="1"/>
          <w:numId w:val="3"/>
        </w:numPr>
        <w:shd w:val="clear" w:color="auto" w:fill="FFFFFF"/>
        <w:tabs>
          <w:tab w:val="clear" w:pos="709"/>
          <w:tab w:val="left" w:pos="1134" w:leader="none"/>
        </w:tabs>
        <w:ind w:left="0" w:firstLine="709"/>
        <w:jc w:val="both"/>
        <w:rPr>
          <w:sz w:val="24"/>
          <w:szCs w:val="24"/>
        </w:rPr>
      </w:pPr>
      <w:r>
        <w:rPr>
          <w:bCs/>
          <w:sz w:val="24"/>
          <w:szCs w:val="24"/>
          <w:shd w:fill="auto" w:val="clear"/>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p>
    <w:p>
      <w:pPr>
        <w:pStyle w:val="Normal"/>
        <w:numPr>
          <w:ilvl w:val="1"/>
          <w:numId w:val="3"/>
        </w:numPr>
        <w:tabs>
          <w:tab w:val="clear" w:pos="709"/>
          <w:tab w:val="left" w:pos="1134" w:leader="none"/>
        </w:tabs>
        <w:spacing w:lineRule="auto" w:line="240"/>
        <w:ind w:left="0" w:firstLine="709"/>
        <w:rPr>
          <w:sz w:val="24"/>
          <w:szCs w:val="24"/>
        </w:rPr>
      </w:pPr>
      <w:r>
        <w:rPr>
          <w:bCs/>
          <w:sz w:val="24"/>
          <w:szCs w:val="24"/>
          <w:shd w:fill="auto" w:val="clear"/>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r>
        <w:rPr>
          <w:sz w:val="24"/>
          <w:szCs w:val="24"/>
          <w:shd w:fill="auto" w:val="clear"/>
        </w:rPr>
        <w:t>начиная с 31 (тридцать первого) календарного дня просрочки (неустойка с 1 по 30 день просрочки не начисляется)</w:t>
      </w:r>
      <w:r>
        <w:rPr>
          <w:bCs/>
          <w:sz w:val="24"/>
          <w:szCs w:val="24"/>
          <w:shd w:fill="auto" w:val="clear"/>
        </w:rPr>
        <w:t xml:space="preserve">. </w:t>
      </w:r>
    </w:p>
    <w:p>
      <w:pPr>
        <w:pStyle w:val="ListParagraph"/>
        <w:numPr>
          <w:ilvl w:val="1"/>
          <w:numId w:val="3"/>
        </w:numPr>
        <w:shd w:val="clear" w:color="auto" w:fill="FFFFFF"/>
        <w:tabs>
          <w:tab w:val="clear" w:pos="709"/>
          <w:tab w:val="left" w:pos="1134" w:leader="none"/>
        </w:tabs>
        <w:ind w:left="0" w:firstLine="709"/>
        <w:jc w:val="both"/>
        <w:rPr>
          <w:sz w:val="24"/>
          <w:szCs w:val="24"/>
        </w:rPr>
      </w:pPr>
      <w:r>
        <w:rPr>
          <w:bCs/>
          <w:sz w:val="24"/>
          <w:szCs w:val="24"/>
          <w:shd w:fill="auto" w:val="clear"/>
        </w:rPr>
        <w:t xml:space="preserve">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 </w:t>
      </w:r>
    </w:p>
    <w:p>
      <w:pPr>
        <w:pStyle w:val="ListParagraph"/>
        <w:numPr>
          <w:ilvl w:val="0"/>
          <w:numId w:val="0"/>
        </w:numPr>
        <w:shd w:val="clear" w:color="auto" w:fill="FFFFFF"/>
        <w:tabs>
          <w:tab w:val="clear" w:pos="709"/>
          <w:tab w:val="left" w:pos="1134" w:leader="none"/>
        </w:tabs>
        <w:ind w:left="0" w:hanging="0"/>
        <w:jc w:val="both"/>
        <w:rPr>
          <w:sz w:val="24"/>
          <w:szCs w:val="24"/>
        </w:rPr>
      </w:pPr>
      <w:r>
        <w:rPr>
          <w:bCs/>
          <w:sz w:val="24"/>
          <w:szCs w:val="24"/>
          <w:shd w:fill="auto" w:val="clear"/>
        </w:rPr>
        <w:t xml:space="preserve">             </w:t>
      </w:r>
      <w:r>
        <w:rPr>
          <w:bCs/>
          <w:sz w:val="24"/>
          <w:szCs w:val="24"/>
          <w:shd w:fill="auto" w:val="clear"/>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Normal"/>
        <w:numPr>
          <w:ilvl w:val="1"/>
          <w:numId w:val="3"/>
        </w:numPr>
        <w:tabs>
          <w:tab w:val="clear" w:pos="709"/>
          <w:tab w:val="left" w:pos="1134" w:leader="none"/>
        </w:tabs>
        <w:spacing w:lineRule="auto" w:line="240"/>
        <w:ind w:left="0" w:firstLine="709"/>
        <w:rPr>
          <w:sz w:val="24"/>
          <w:szCs w:val="24"/>
        </w:rPr>
      </w:pPr>
      <w:r>
        <w:rPr>
          <w:rFonts w:eastAsia="Calibri"/>
          <w:bCs/>
          <w:sz w:val="24"/>
          <w:szCs w:val="24"/>
          <w:shd w:fill="auto" w:val="clear"/>
        </w:rPr>
        <w:t>В случае нарушения Подрядчиком обязательств по выполнению работ / оказанию услуг, а также в случае несвоевременного устранения выявленных недостатков результатов работ / услуг,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pPr>
        <w:pStyle w:val="ListParagraph"/>
        <w:numPr>
          <w:ilvl w:val="1"/>
          <w:numId w:val="3"/>
        </w:numPr>
        <w:shd w:val="clear" w:color="auto" w:fill="FFFFFF"/>
        <w:tabs>
          <w:tab w:val="clear" w:pos="709"/>
          <w:tab w:val="left" w:pos="1134" w:leader="none"/>
        </w:tabs>
        <w:ind w:left="0" w:firstLine="709"/>
        <w:jc w:val="both"/>
        <w:rPr>
          <w:sz w:val="24"/>
          <w:szCs w:val="24"/>
        </w:rPr>
      </w:pPr>
      <w:r>
        <w:rPr>
          <w:bCs/>
          <w:sz w:val="24"/>
          <w:szCs w:val="24"/>
          <w:shd w:fill="auto" w:val="clea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10 к Договору. </w:t>
      </w:r>
    </w:p>
    <w:p>
      <w:pPr>
        <w:pStyle w:val="ListParagraph"/>
        <w:numPr>
          <w:ilvl w:val="1"/>
          <w:numId w:val="3"/>
        </w:numPr>
        <w:shd w:val="clear" w:color="auto" w:fill="FFFFFF"/>
        <w:tabs>
          <w:tab w:val="clear" w:pos="709"/>
          <w:tab w:val="left" w:pos="1134" w:leader="none"/>
        </w:tabs>
        <w:ind w:left="0" w:firstLine="709"/>
        <w:jc w:val="both"/>
        <w:rPr>
          <w:sz w:val="24"/>
          <w:szCs w:val="24"/>
        </w:rPr>
      </w:pPr>
      <w:r>
        <w:rPr>
          <w:bCs/>
          <w:sz w:val="24"/>
          <w:szCs w:val="24"/>
          <w:shd w:fill="auto" w:val="clear"/>
        </w:rPr>
        <w:t>Если в результате составления и выставления Подрядчиком счетов-фактур/УПД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счетов-фактур/УПД,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hd w:fill="auto" w:val="clear"/>
        </w:rPr>
        <w:t xml:space="preserve"> </w:t>
      </w:r>
      <w:r>
        <w:rPr>
          <w:bCs/>
          <w:shd w:fill="auto" w:val="clear"/>
        </w:rPr>
        <w:t>сумма неустойки, подлежащая уплате виновной Стороной, определяется на основании решения суда.</w:t>
      </w:r>
    </w:p>
    <w:p>
      <w:pPr>
        <w:pStyle w:val="Normal"/>
        <w:spacing w:lineRule="auto" w:line="240"/>
        <w:rPr>
          <w:b/>
          <w:color w:val="000000"/>
          <w:sz w:val="24"/>
          <w:szCs w:val="24"/>
          <w:highlight w:val="none"/>
          <w:shd w:fill="auto" w:val="clear"/>
        </w:rPr>
      </w:pPr>
      <w:r>
        <w:rPr>
          <w:b/>
          <w:color w:val="000000"/>
          <w:sz w:val="24"/>
          <w:szCs w:val="24"/>
          <w:shd w:fill="auto" w:val="clear"/>
        </w:rPr>
      </w:r>
    </w:p>
    <w:p>
      <w:pPr>
        <w:pStyle w:val="ListParagraph"/>
        <w:numPr>
          <w:ilvl w:val="0"/>
          <w:numId w:val="3"/>
        </w:numPr>
        <w:shd w:val="clear" w:color="auto" w:fill="FFFFFF"/>
        <w:tabs>
          <w:tab w:val="clear" w:pos="709"/>
          <w:tab w:val="left" w:pos="284" w:leader="none"/>
        </w:tabs>
        <w:ind w:left="0" w:hanging="0"/>
        <w:jc w:val="center"/>
        <w:rPr>
          <w:highlight w:val="none"/>
          <w:shd w:fill="auto" w:val="clear"/>
        </w:rPr>
      </w:pPr>
      <w:r>
        <w:rPr>
          <w:b/>
          <w:bCs/>
          <w:shd w:fill="auto" w:val="clear"/>
        </w:rPr>
        <w:t xml:space="preserve">Гарантии качества Результата </w:t>
      </w:r>
      <w:r>
        <w:rPr>
          <w:b/>
          <w:bCs/>
          <w:shd w:fill="auto" w:val="clear"/>
          <w:lang w:val="en-US"/>
        </w:rPr>
        <w:t>Р</w:t>
      </w:r>
      <w:r>
        <w:rPr>
          <w:b/>
          <w:bCs/>
          <w:shd w:fill="auto" w:val="clear"/>
        </w:rPr>
        <w:t>абот</w:t>
      </w:r>
    </w:p>
    <w:p>
      <w:pPr>
        <w:pStyle w:val="Normal"/>
        <w:numPr>
          <w:ilvl w:val="1"/>
          <w:numId w:val="3"/>
        </w:numPr>
        <w:tabs>
          <w:tab w:val="clear" w:pos="709"/>
          <w:tab w:val="left" w:pos="1134" w:leader="none"/>
        </w:tabs>
        <w:spacing w:lineRule="auto" w:line="240" w:before="0" w:after="0"/>
        <w:ind w:left="-142" w:right="0" w:firstLine="992"/>
        <w:jc w:val="both"/>
        <w:rPr>
          <w:highlight w:val="none"/>
          <w:shd w:fill="auto" w:val="clear"/>
        </w:rPr>
      </w:pPr>
      <w:bookmarkStart w:id="11" w:name="undefined"/>
      <w:r>
        <w:rPr>
          <w:sz w:val="24"/>
          <w:szCs w:val="24"/>
          <w:shd w:fill="auto" w:val="clear"/>
        </w:rPr>
        <w:t>Гарантийный</w:t>
      </w:r>
      <w:r>
        <w:rPr>
          <w:bCs/>
          <w:sz w:val="24"/>
          <w:szCs w:val="24"/>
          <w:shd w:fill="auto" w:val="clear"/>
        </w:rPr>
        <w:t xml:space="preserve"> срок по Договору составляет </w:t>
      </w:r>
      <w:r>
        <w:rPr>
          <w:sz w:val="24"/>
          <w:szCs w:val="24"/>
          <w:shd w:fill="auto" w:val="clear"/>
        </w:rPr>
        <w:t xml:space="preserve">36 </w:t>
      </w:r>
      <w:r>
        <w:rPr>
          <w:bCs/>
          <w:sz w:val="24"/>
          <w:szCs w:val="24"/>
          <w:shd w:fill="auto" w:val="clear"/>
        </w:rPr>
        <w:t>(тридцать шесть)</w:t>
      </w:r>
      <w:r>
        <w:rPr>
          <w:sz w:val="24"/>
          <w:szCs w:val="24"/>
          <w:shd w:fill="auto" w:val="clear"/>
        </w:rPr>
        <w:t xml:space="preserve"> месяцев</w:t>
      </w:r>
      <w:r>
        <w:rPr>
          <w:bCs/>
          <w:sz w:val="24"/>
          <w:szCs w:val="24"/>
          <w:shd w:fill="auto" w:val="clear"/>
        </w:rPr>
        <w:t xml:space="preserve"> и начинается с даты подписания Сторонами А</w:t>
      </w:r>
      <w:r>
        <w:rPr>
          <w:sz w:val="24"/>
          <w:szCs w:val="24"/>
          <w:shd w:fill="auto" w:val="clear"/>
        </w:rPr>
        <w:t>кта КС-14</w:t>
      </w:r>
      <w:r>
        <w:rPr>
          <w:bCs/>
          <w:sz w:val="24"/>
          <w:szCs w:val="24"/>
          <w:shd w:fill="auto" w:val="clear"/>
        </w:rPr>
        <w:t xml:space="preserve"> </w:t>
      </w:r>
      <w:bookmarkEnd w:id="11"/>
      <w:r>
        <w:rPr>
          <w:bCs/>
          <w:sz w:val="24"/>
          <w:szCs w:val="24"/>
          <w:shd w:fill="auto" w:val="clear"/>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3"/>
        </w:numPr>
        <w:shd w:val="clear" w:color="auto" w:fill="FFFFFF"/>
        <w:tabs>
          <w:tab w:val="clear" w:pos="709"/>
          <w:tab w:val="left" w:pos="568" w:leader="none"/>
          <w:tab w:val="left" w:pos="1134" w:leader="none"/>
        </w:tabs>
        <w:spacing w:lineRule="auto" w:line="240" w:before="0" w:after="0"/>
        <w:ind w:left="0" w:firstLine="709"/>
        <w:contextualSpacing/>
        <w:jc w:val="both"/>
        <w:rPr>
          <w:highlight w:val="none"/>
          <w:shd w:fill="auto" w:val="clear"/>
        </w:rPr>
      </w:pPr>
      <w:r>
        <w:rPr>
          <w:bCs/>
          <w:shd w:fill="auto" w:val="clear"/>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3"/>
        </w:numPr>
        <w:shd w:val="clear" w:color="auto" w:fill="FFFFFF"/>
        <w:tabs>
          <w:tab w:val="clear" w:pos="709"/>
          <w:tab w:val="left" w:pos="1134" w:leader="none"/>
        </w:tabs>
        <w:spacing w:lineRule="auto" w:line="240" w:before="0" w:after="0"/>
        <w:ind w:left="0" w:firstLine="709"/>
        <w:contextualSpacing/>
        <w:jc w:val="both"/>
        <w:rPr>
          <w:highlight w:val="none"/>
          <w:shd w:fill="auto" w:val="clear"/>
        </w:rPr>
      </w:pPr>
      <w:r>
        <w:rPr>
          <w:bCs/>
          <w:shd w:fill="auto" w:val="clear"/>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3"/>
        </w:numPr>
        <w:shd w:val="clear" w:color="auto" w:fill="FFFFFF"/>
        <w:tabs>
          <w:tab w:val="clear" w:pos="709"/>
          <w:tab w:val="left" w:pos="1134" w:leader="none"/>
        </w:tabs>
        <w:spacing w:lineRule="auto" w:line="240" w:before="0" w:after="0"/>
        <w:ind w:left="0" w:firstLine="709"/>
        <w:contextualSpacing/>
        <w:jc w:val="both"/>
        <w:rPr>
          <w:highlight w:val="none"/>
          <w:shd w:fill="auto" w:val="clear"/>
        </w:rPr>
      </w:pPr>
      <w:bookmarkStart w:id="12" w:name="_Ref361337764"/>
      <w:r>
        <w:rPr>
          <w:bCs/>
          <w:shd w:fill="auto" w:val="clear"/>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2"/>
      <w:r>
        <w:rPr>
          <w:bCs/>
          <w:shd w:fill="auto" w:val="clear"/>
        </w:rPr>
        <w:t xml:space="preserve"> </w:t>
      </w:r>
    </w:p>
    <w:p>
      <w:pPr>
        <w:pStyle w:val="ListParagraph"/>
        <w:numPr>
          <w:ilvl w:val="1"/>
          <w:numId w:val="3"/>
        </w:numPr>
        <w:shd w:val="clear" w:color="auto" w:fill="FFFFFF"/>
        <w:tabs>
          <w:tab w:val="clear" w:pos="709"/>
          <w:tab w:val="left" w:pos="1134" w:leader="none"/>
        </w:tabs>
        <w:spacing w:lineRule="auto" w:line="240" w:before="0" w:after="0"/>
        <w:ind w:left="0" w:firstLine="709"/>
        <w:contextualSpacing/>
        <w:jc w:val="both"/>
        <w:rPr>
          <w:highlight w:val="none"/>
          <w:shd w:fill="auto" w:val="clear"/>
        </w:rPr>
      </w:pPr>
      <w:r>
        <w:rPr>
          <w:bCs/>
          <w:shd w:fill="auto" w:val="clear"/>
        </w:rPr>
        <w:t>Наличие и полный перечень недостатков,</w:t>
      </w:r>
      <w:r>
        <w:rPr>
          <w:shd w:fill="auto" w:val="clear"/>
        </w:rPr>
        <w:t xml:space="preserve"> </w:t>
      </w:r>
      <w:r>
        <w:rPr>
          <w:bCs/>
          <w:shd w:fill="auto" w:val="clear"/>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3"/>
        </w:numPr>
        <w:shd w:val="clear" w:color="auto" w:fill="FFFFFF"/>
        <w:tabs>
          <w:tab w:val="clear" w:pos="709"/>
          <w:tab w:val="left" w:pos="1134" w:leader="none"/>
        </w:tabs>
        <w:spacing w:lineRule="auto" w:line="240" w:before="0" w:after="0"/>
        <w:ind w:left="0" w:firstLine="709"/>
        <w:contextualSpacing/>
        <w:jc w:val="both"/>
        <w:rPr>
          <w:highlight w:val="none"/>
          <w:shd w:fill="auto" w:val="clear"/>
        </w:rPr>
      </w:pPr>
      <w:r>
        <w:rPr>
          <w:bCs/>
          <w:shd w:fill="auto" w:val="clear"/>
        </w:rPr>
        <w:t>Подрядчик обязан своими силами и за свой счет устранить недостатки,</w:t>
      </w:r>
      <w:r>
        <w:rPr>
          <w:shd w:fill="auto" w:val="clear"/>
        </w:rPr>
        <w:t xml:space="preserve"> </w:t>
      </w:r>
      <w:r>
        <w:rPr>
          <w:bCs/>
          <w:shd w:fill="auto" w:val="clear"/>
        </w:rPr>
        <w:t xml:space="preserve">несоответствия и / или дефекты, обнаруженные Заказчиком в течение Гарантийного срока, в срок, указанный в </w:t>
      </w:r>
      <w:bookmarkStart w:id="13" w:name="OLE_LINK6"/>
      <w:bookmarkStart w:id="14" w:name="OLE_LINK5"/>
      <w:r>
        <w:rPr>
          <w:bCs/>
          <w:shd w:fill="auto" w:val="clear"/>
        </w:rPr>
        <w:t>Акте о недостатках, составленном в порядке, установленном пунктом 8.5 Договора</w:t>
      </w:r>
      <w:bookmarkEnd w:id="13"/>
      <w:bookmarkEnd w:id="14"/>
      <w:r>
        <w:rPr>
          <w:bCs/>
          <w:shd w:fill="auto" w:val="clear"/>
        </w:rPr>
        <w:t>.</w:t>
      </w:r>
      <w:r>
        <w:rPr>
          <w:shd w:fill="auto" w:val="clear"/>
        </w:rPr>
        <w:t xml:space="preserve"> </w:t>
      </w:r>
    </w:p>
    <w:p>
      <w:pPr>
        <w:pStyle w:val="ListParagraph"/>
        <w:numPr>
          <w:ilvl w:val="1"/>
          <w:numId w:val="3"/>
        </w:numPr>
        <w:shd w:val="clear" w:color="auto" w:fill="FFFFFF"/>
        <w:tabs>
          <w:tab w:val="clear" w:pos="709"/>
          <w:tab w:val="left" w:pos="1134" w:leader="none"/>
        </w:tabs>
        <w:spacing w:lineRule="auto" w:line="240" w:before="0" w:after="0"/>
        <w:ind w:left="0" w:firstLine="709"/>
        <w:contextualSpacing/>
        <w:jc w:val="both"/>
        <w:rPr>
          <w:highlight w:val="none"/>
          <w:shd w:fill="auto" w:val="clear"/>
        </w:rPr>
      </w:pPr>
      <w:r>
        <w:rPr>
          <w:bCs/>
          <w:shd w:fill="auto" w:val="clear"/>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3"/>
        </w:numPr>
        <w:shd w:val="clear" w:color="auto" w:fill="FFFFFF"/>
        <w:tabs>
          <w:tab w:val="clear" w:pos="709"/>
          <w:tab w:val="left" w:pos="1134" w:leader="none"/>
        </w:tabs>
        <w:spacing w:lineRule="auto" w:line="240" w:before="0" w:after="0"/>
        <w:ind w:left="0" w:firstLine="709"/>
        <w:contextualSpacing/>
        <w:jc w:val="both"/>
        <w:rPr>
          <w:highlight w:val="none"/>
          <w:shd w:fill="auto" w:val="clear"/>
        </w:rPr>
      </w:pPr>
      <w:r>
        <w:rPr>
          <w:bCs/>
          <w:shd w:fill="auto" w:val="clear"/>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3"/>
        </w:numPr>
        <w:shd w:val="clear" w:color="auto" w:fill="FFFFFF"/>
        <w:tabs>
          <w:tab w:val="clear" w:pos="709"/>
          <w:tab w:val="left" w:pos="1134" w:leader="none"/>
        </w:tabs>
        <w:spacing w:lineRule="auto" w:line="240" w:before="0" w:after="0"/>
        <w:ind w:left="0" w:firstLine="709"/>
        <w:contextualSpacing/>
        <w:jc w:val="both"/>
        <w:rPr>
          <w:highlight w:val="none"/>
          <w:shd w:fill="auto" w:val="clear"/>
        </w:rPr>
      </w:pPr>
      <w:r>
        <w:rPr>
          <w:bCs/>
          <w:shd w:fill="auto" w:val="clear"/>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9"/>
          <w:tab w:val="left" w:pos="566" w:leader="none"/>
        </w:tabs>
        <w:spacing w:lineRule="auto" w:line="240" w:before="0" w:after="0"/>
        <w:ind w:hanging="0"/>
        <w:jc w:val="both"/>
        <w:rPr>
          <w:color w:val="000000"/>
          <w:sz w:val="24"/>
          <w:szCs w:val="24"/>
          <w:highlight w:val="none"/>
          <w:shd w:fill="auto" w:val="clear"/>
        </w:rPr>
      </w:pPr>
      <w:r>
        <w:rPr>
          <w:color w:val="000000"/>
          <w:sz w:val="24"/>
          <w:szCs w:val="24"/>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Исключительные права и патенты</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shd w:fill="auto" w:val="clear"/>
        </w:rPr>
        <w:t xml:space="preserve"> </w:t>
      </w:r>
      <w:r>
        <w:rPr>
          <w:bCs/>
          <w:shd w:fill="auto" w:val="clear"/>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highlight w:val="none"/>
          <w:shd w:fill="auto" w:val="clear"/>
        </w:rPr>
      </w:pPr>
      <w:r>
        <w:rPr>
          <w:bCs/>
          <w:shd w:fill="auto" w:val="clear"/>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shd w:fill="auto" w:val="clear"/>
        </w:rPr>
        <w:t xml:space="preserve"> </w:t>
      </w:r>
      <w:r>
        <w:rPr>
          <w:bCs/>
          <w:shd w:fill="auto" w:val="clear"/>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shd w:fill="auto" w:val="clear"/>
        </w:rPr>
        <w:t xml:space="preserve"> </w:t>
      </w:r>
      <w:r>
        <w:rPr>
          <w:bCs/>
          <w:shd w:fill="auto" w:val="clear"/>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КС-14.</w:t>
      </w:r>
    </w:p>
    <w:p>
      <w:pPr>
        <w:pStyle w:val="ListParagraph"/>
        <w:shd w:val="clear" w:color="auto" w:fill="FFFFFF"/>
        <w:tabs>
          <w:tab w:val="clear" w:pos="709"/>
          <w:tab w:val="left" w:pos="1134" w:leader="none"/>
        </w:tabs>
        <w:ind w:left="709" w:hanging="0"/>
        <w:jc w:val="both"/>
        <w:rPr>
          <w:bCs/>
          <w:highlight w:val="none"/>
          <w:shd w:fill="auto" w:val="clear"/>
        </w:rPr>
      </w:pPr>
      <w:r>
        <w:rPr>
          <w:bCs/>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Конфиденциальность</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5"/>
        </w:numPr>
        <w:tabs>
          <w:tab w:val="left" w:pos="709" w:leader="none"/>
          <w:tab w:val="left" w:pos="1418" w:leader="none"/>
        </w:tabs>
        <w:spacing w:lineRule="auto" w:line="240"/>
        <w:ind w:left="0" w:firstLine="709"/>
        <w:rPr>
          <w:highlight w:val="none"/>
          <w:shd w:fill="auto" w:val="clear"/>
        </w:rPr>
      </w:pPr>
      <w:r>
        <w:rPr>
          <w:bCs/>
          <w:sz w:val="24"/>
          <w:szCs w:val="24"/>
          <w:shd w:fill="auto" w:val="clear"/>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shd w:fill="auto" w:val="clear"/>
        </w:rPr>
        <w:t xml:space="preserve">м, в том числе по причине </w:t>
      </w:r>
      <w:r>
        <w:rPr>
          <w:bCs/>
          <w:sz w:val="24"/>
          <w:szCs w:val="24"/>
          <w:shd w:fill="auto" w:val="clear"/>
        </w:rPr>
        <w:t>введения в отношении нее режима Коммерческой тайны;</w:t>
      </w:r>
    </w:p>
    <w:p>
      <w:pPr>
        <w:pStyle w:val="Normal"/>
        <w:numPr>
          <w:ilvl w:val="0"/>
          <w:numId w:val="5"/>
        </w:numPr>
        <w:tabs>
          <w:tab w:val="left" w:pos="709" w:leader="none"/>
          <w:tab w:val="left" w:pos="1418" w:leader="none"/>
        </w:tabs>
        <w:spacing w:lineRule="auto" w:line="240"/>
        <w:ind w:left="0" w:firstLine="709"/>
        <w:rPr>
          <w:highlight w:val="none"/>
          <w:shd w:fill="auto" w:val="clear"/>
        </w:rPr>
      </w:pPr>
      <w:r>
        <w:rPr>
          <w:bCs/>
          <w:sz w:val="24"/>
          <w:szCs w:val="24"/>
          <w:shd w:fill="auto" w:val="clear"/>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Информация может включать в себя, в том числе, но не ограничиваясь:</w:t>
      </w:r>
    </w:p>
    <w:p>
      <w:pPr>
        <w:pStyle w:val="Normal"/>
        <w:numPr>
          <w:ilvl w:val="0"/>
          <w:numId w:val="5"/>
        </w:numPr>
        <w:tabs>
          <w:tab w:val="clear" w:pos="709"/>
          <w:tab w:val="left" w:pos="1418" w:leader="none"/>
        </w:tabs>
        <w:spacing w:lineRule="auto" w:line="240"/>
        <w:ind w:left="0" w:firstLine="709"/>
        <w:rPr>
          <w:highlight w:val="none"/>
          <w:shd w:fill="auto" w:val="clear"/>
        </w:rPr>
      </w:pPr>
      <w:r>
        <w:rPr>
          <w:bCs/>
          <w:sz w:val="24"/>
          <w:szCs w:val="24"/>
          <w:shd w:fill="auto" w:val="clear"/>
        </w:rPr>
        <w:t xml:space="preserve">финансовую </w:t>
      </w:r>
      <w:r>
        <w:rPr>
          <w:bCs/>
          <w:sz w:val="24"/>
          <w:szCs w:val="24"/>
          <w:shd w:fill="auto" w:val="clear"/>
          <w:lang w:val="en-US"/>
        </w:rPr>
        <w:t>(</w:t>
      </w:r>
      <w:r>
        <w:rPr>
          <w:bCs/>
          <w:sz w:val="24"/>
          <w:szCs w:val="24"/>
          <w:shd w:fill="auto" w:val="clear"/>
        </w:rPr>
        <w:t>бухгалтерскую) отчетность;</w:t>
      </w:r>
    </w:p>
    <w:p>
      <w:pPr>
        <w:pStyle w:val="Normal"/>
        <w:numPr>
          <w:ilvl w:val="0"/>
          <w:numId w:val="5"/>
        </w:numPr>
        <w:tabs>
          <w:tab w:val="clear" w:pos="709"/>
          <w:tab w:val="left" w:pos="1418" w:leader="none"/>
        </w:tabs>
        <w:spacing w:lineRule="auto" w:line="240"/>
        <w:ind w:left="0" w:firstLine="709"/>
        <w:rPr>
          <w:highlight w:val="none"/>
          <w:shd w:fill="auto" w:val="clear"/>
        </w:rPr>
      </w:pPr>
      <w:r>
        <w:rPr>
          <w:bCs/>
          <w:sz w:val="24"/>
          <w:szCs w:val="24"/>
          <w:shd w:fill="auto" w:val="clear"/>
        </w:rPr>
        <w:t>учетные регистры бухгалтерского учета;</w:t>
      </w:r>
    </w:p>
    <w:p>
      <w:pPr>
        <w:pStyle w:val="Normal"/>
        <w:numPr>
          <w:ilvl w:val="0"/>
          <w:numId w:val="5"/>
        </w:numPr>
        <w:tabs>
          <w:tab w:val="clear" w:pos="709"/>
          <w:tab w:val="left" w:pos="1418" w:leader="none"/>
        </w:tabs>
        <w:spacing w:lineRule="auto" w:line="240"/>
        <w:ind w:left="0" w:firstLine="709"/>
        <w:rPr>
          <w:highlight w:val="none"/>
          <w:shd w:fill="auto" w:val="clear"/>
        </w:rPr>
      </w:pPr>
      <w:r>
        <w:rPr>
          <w:bCs/>
          <w:sz w:val="24"/>
          <w:szCs w:val="24"/>
          <w:shd w:fill="auto" w:val="clear"/>
        </w:rPr>
        <w:t>бизнес-планы;</w:t>
      </w:r>
    </w:p>
    <w:p>
      <w:pPr>
        <w:pStyle w:val="Normal"/>
        <w:numPr>
          <w:ilvl w:val="0"/>
          <w:numId w:val="5"/>
        </w:numPr>
        <w:tabs>
          <w:tab w:val="clear" w:pos="709"/>
          <w:tab w:val="left" w:pos="1418" w:leader="none"/>
        </w:tabs>
        <w:spacing w:lineRule="auto" w:line="240"/>
        <w:ind w:left="0" w:firstLine="709"/>
        <w:rPr>
          <w:highlight w:val="none"/>
          <w:shd w:fill="auto" w:val="clear"/>
        </w:rPr>
      </w:pPr>
      <w:r>
        <w:rPr>
          <w:bCs/>
          <w:sz w:val="24"/>
          <w:szCs w:val="24"/>
          <w:shd w:fill="auto" w:val="clear"/>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5"/>
        </w:numPr>
        <w:tabs>
          <w:tab w:val="clear" w:pos="709"/>
          <w:tab w:val="left" w:pos="1418" w:leader="none"/>
        </w:tabs>
        <w:spacing w:lineRule="auto" w:line="240"/>
        <w:ind w:left="0" w:firstLine="709"/>
        <w:rPr>
          <w:highlight w:val="none"/>
          <w:shd w:fill="auto" w:val="clear"/>
        </w:rPr>
      </w:pPr>
      <w:r>
        <w:rPr>
          <w:bCs/>
          <w:sz w:val="24"/>
          <w:szCs w:val="24"/>
          <w:shd w:fill="auto" w:val="clear"/>
        </w:rPr>
        <w:t>сведения о финансовых, правовых, организационных и других взаимоотношениях между Заказчиком и третьими лицами;</w:t>
      </w:r>
    </w:p>
    <w:p>
      <w:pPr>
        <w:pStyle w:val="Normal"/>
        <w:numPr>
          <w:ilvl w:val="0"/>
          <w:numId w:val="5"/>
        </w:numPr>
        <w:tabs>
          <w:tab w:val="clear" w:pos="709"/>
          <w:tab w:val="left" w:pos="1418" w:leader="none"/>
        </w:tabs>
        <w:spacing w:lineRule="auto" w:line="240"/>
        <w:ind w:left="0" w:firstLine="709"/>
        <w:rPr>
          <w:highlight w:val="none"/>
          <w:shd w:fill="auto" w:val="clear"/>
        </w:rPr>
      </w:pPr>
      <w:r>
        <w:rPr>
          <w:bCs/>
          <w:sz w:val="24"/>
          <w:szCs w:val="24"/>
          <w:shd w:fill="auto" w:val="clear"/>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5"/>
        </w:numPr>
        <w:tabs>
          <w:tab w:val="clear" w:pos="709"/>
          <w:tab w:val="left" w:pos="1418" w:leader="none"/>
        </w:tabs>
        <w:spacing w:lineRule="auto" w:line="240"/>
        <w:ind w:left="0" w:firstLine="709"/>
        <w:rPr>
          <w:highlight w:val="none"/>
          <w:shd w:fill="auto" w:val="clear"/>
        </w:rPr>
      </w:pPr>
      <w:r>
        <w:rPr>
          <w:bCs/>
          <w:sz w:val="24"/>
          <w:szCs w:val="24"/>
          <w:shd w:fill="auto" w:val="clear"/>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5"/>
        </w:numPr>
        <w:tabs>
          <w:tab w:val="clear" w:pos="709"/>
          <w:tab w:val="left" w:pos="1418" w:leader="none"/>
        </w:tabs>
        <w:spacing w:lineRule="auto" w:line="240"/>
        <w:ind w:left="0" w:firstLine="709"/>
        <w:rPr>
          <w:highlight w:val="none"/>
          <w:shd w:fill="auto" w:val="clear"/>
        </w:rPr>
      </w:pPr>
      <w:r>
        <w:rPr>
          <w:bCs/>
          <w:sz w:val="24"/>
          <w:szCs w:val="24"/>
          <w:shd w:fill="auto" w:val="clear"/>
        </w:rPr>
        <w:t>сведения об объемах производства и / или реализации продукции и услуг Заказчика или его аффилированных лиц;</w:t>
      </w:r>
    </w:p>
    <w:p>
      <w:pPr>
        <w:pStyle w:val="Normal"/>
        <w:numPr>
          <w:ilvl w:val="0"/>
          <w:numId w:val="5"/>
        </w:numPr>
        <w:tabs>
          <w:tab w:val="clear" w:pos="709"/>
          <w:tab w:val="left" w:pos="1418" w:leader="none"/>
        </w:tabs>
        <w:spacing w:lineRule="auto" w:line="240"/>
        <w:ind w:left="0" w:firstLine="709"/>
        <w:rPr>
          <w:highlight w:val="none"/>
          <w:shd w:fill="auto" w:val="clear"/>
        </w:rPr>
      </w:pPr>
      <w:r>
        <w:rPr>
          <w:bCs/>
          <w:sz w:val="24"/>
          <w:szCs w:val="24"/>
          <w:shd w:fill="auto" w:val="clear"/>
        </w:rPr>
        <w:t>материалы обобщения, анализа, оценки, иных действий по обработке вышеуказанной Информации и документов.</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15" w:name="_Ref361337849"/>
      <w:r>
        <w:rPr>
          <w:bCs/>
          <w:shd w:fill="auto" w:val="clea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hd w:fill="auto" w:val="clear"/>
        </w:rPr>
        <w:t xml:space="preserve"> </w:t>
      </w:r>
      <w:r>
        <w:rPr>
          <w:bCs/>
          <w:shd w:fill="auto" w:val="clear"/>
        </w:rPr>
        <w:t>(расторжения) или исполнения, в том числе:</w:t>
      </w:r>
      <w:bookmarkEnd w:id="15"/>
      <w:r>
        <w:rPr>
          <w:bCs/>
          <w:shd w:fill="auto" w:val="clear"/>
        </w:rPr>
        <w:t xml:space="preserve"> </w:t>
      </w:r>
    </w:p>
    <w:p>
      <w:pPr>
        <w:pStyle w:val="ListParagraph"/>
        <w:numPr>
          <w:ilvl w:val="2"/>
          <w:numId w:val="3"/>
        </w:numPr>
        <w:shd w:val="clear" w:color="auto" w:fill="FFFFFF"/>
        <w:tabs>
          <w:tab w:val="clear" w:pos="709"/>
          <w:tab w:val="left" w:pos="1701" w:leader="none"/>
        </w:tabs>
        <w:ind w:left="0" w:firstLine="709"/>
        <w:jc w:val="both"/>
        <w:rPr>
          <w:highlight w:val="none"/>
          <w:shd w:fill="auto" w:val="clear"/>
        </w:rPr>
      </w:pPr>
      <w:r>
        <w:rPr>
          <w:bCs/>
          <w:shd w:fill="auto" w:val="clear"/>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3"/>
        </w:numPr>
        <w:shd w:val="clear" w:color="auto" w:fill="FFFFFF"/>
        <w:tabs>
          <w:tab w:val="clear" w:pos="709"/>
          <w:tab w:val="left" w:pos="1701" w:leader="none"/>
        </w:tabs>
        <w:ind w:left="0" w:firstLine="709"/>
        <w:jc w:val="both"/>
        <w:rPr>
          <w:highlight w:val="none"/>
          <w:shd w:fill="auto" w:val="clear"/>
        </w:rPr>
      </w:pPr>
      <w:r>
        <w:rPr>
          <w:bCs/>
          <w:shd w:fill="auto" w:val="clear"/>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3"/>
        </w:numPr>
        <w:shd w:val="clear" w:color="auto" w:fill="FFFFFF"/>
        <w:tabs>
          <w:tab w:val="clear" w:pos="709"/>
          <w:tab w:val="left" w:pos="1701" w:leader="none"/>
        </w:tabs>
        <w:ind w:left="0" w:firstLine="709"/>
        <w:jc w:val="both"/>
        <w:rPr>
          <w:highlight w:val="none"/>
          <w:shd w:fill="auto" w:val="clear"/>
        </w:rPr>
      </w:pPr>
      <w:r>
        <w:rPr>
          <w:bCs/>
          <w:shd w:fill="auto" w:val="clear"/>
        </w:rPr>
        <w:t xml:space="preserve">использовать Информацию исключительно для целей, для которых она была предоставлена; </w:t>
      </w:r>
    </w:p>
    <w:p>
      <w:pPr>
        <w:pStyle w:val="ListParagraph"/>
        <w:numPr>
          <w:ilvl w:val="2"/>
          <w:numId w:val="3"/>
        </w:numPr>
        <w:shd w:val="clear" w:color="auto" w:fill="FFFFFF"/>
        <w:tabs>
          <w:tab w:val="clear" w:pos="709"/>
          <w:tab w:val="left" w:pos="1701" w:leader="none"/>
        </w:tabs>
        <w:ind w:left="0" w:firstLine="709"/>
        <w:jc w:val="both"/>
        <w:rPr>
          <w:highlight w:val="none"/>
          <w:shd w:fill="auto" w:val="clear"/>
        </w:rPr>
      </w:pPr>
      <w:r>
        <w:rPr>
          <w:bCs/>
          <w:shd w:fill="auto"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3"/>
        </w:numPr>
        <w:shd w:val="clear" w:color="auto" w:fill="FFFFFF"/>
        <w:tabs>
          <w:tab w:val="clear" w:pos="709"/>
          <w:tab w:val="left" w:pos="1701" w:leader="none"/>
        </w:tabs>
        <w:ind w:left="0" w:firstLine="709"/>
        <w:jc w:val="both"/>
        <w:rPr>
          <w:highlight w:val="none"/>
          <w:shd w:fill="auto" w:val="clear"/>
        </w:rPr>
      </w:pPr>
      <w:r>
        <w:rPr>
          <w:bCs/>
          <w:shd w:fill="auto"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3"/>
        </w:numPr>
        <w:shd w:val="clear" w:color="auto" w:fill="FFFFFF"/>
        <w:tabs>
          <w:tab w:val="clear" w:pos="709"/>
          <w:tab w:val="left" w:pos="1701" w:leader="none"/>
        </w:tabs>
        <w:ind w:left="0" w:firstLine="709"/>
        <w:jc w:val="both"/>
        <w:rPr>
          <w:highlight w:val="none"/>
          <w:shd w:fill="auto" w:val="clear"/>
        </w:rPr>
      </w:pPr>
      <w:r>
        <w:rPr>
          <w:bCs/>
          <w:shd w:fill="auto" w:val="clea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3"/>
        </w:numPr>
        <w:shd w:val="clear" w:color="auto" w:fill="FFFFFF"/>
        <w:tabs>
          <w:tab w:val="clear" w:pos="709"/>
          <w:tab w:val="left" w:pos="1701" w:leader="none"/>
        </w:tabs>
        <w:ind w:left="0" w:firstLine="709"/>
        <w:jc w:val="both"/>
        <w:rPr>
          <w:highlight w:val="none"/>
          <w:shd w:fill="auto" w:val="clear"/>
        </w:rPr>
      </w:pPr>
      <w:bookmarkStart w:id="16" w:name="_Ref361337832"/>
      <w:r>
        <w:rPr>
          <w:bCs/>
          <w:shd w:fill="auto" w:val="clear"/>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p>
    <w:p>
      <w:pPr>
        <w:pStyle w:val="ListParagraph"/>
        <w:numPr>
          <w:ilvl w:val="2"/>
          <w:numId w:val="3"/>
        </w:numPr>
        <w:shd w:val="clear" w:color="auto" w:fill="FFFFFF"/>
        <w:tabs>
          <w:tab w:val="clear" w:pos="709"/>
          <w:tab w:val="left" w:pos="1701" w:leader="none"/>
        </w:tabs>
        <w:ind w:left="0" w:firstLine="709"/>
        <w:jc w:val="both"/>
        <w:rPr>
          <w:highlight w:val="none"/>
          <w:shd w:fill="auto" w:val="clear"/>
        </w:rPr>
      </w:pPr>
      <w:r>
        <w:rPr>
          <w:bCs/>
          <w:shd w:fill="auto" w:val="clear"/>
        </w:rPr>
        <w:t>не разглашать третьим лицам факты передачи или получения Информации.</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17" w:name="_Ref361337863"/>
      <w:r>
        <w:rPr>
          <w:bCs/>
          <w:shd w:fill="auto" w:val="clear"/>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7"/>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284" w:leader="none"/>
        </w:tabs>
        <w:ind w:left="0" w:hanging="0"/>
        <w:rPr>
          <w:b/>
          <w:bCs/>
          <w:highlight w:val="none"/>
          <w:shd w:fill="auto" w:val="clear"/>
        </w:rPr>
      </w:pPr>
      <w:r>
        <w:rPr>
          <w:b/>
          <w:bCs/>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Разрешение споров</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Споры, указанные в пункте 11.1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17.8 Договора.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9"/>
          <w:tab w:val="left" w:pos="1134" w:leader="none"/>
          <w:tab w:val="left" w:pos="1418" w:leader="none"/>
        </w:tabs>
        <w:ind w:hanging="0"/>
        <w:rPr>
          <w:bCs/>
          <w:highlight w:val="none"/>
          <w:shd w:fill="auto" w:val="clear"/>
        </w:rPr>
      </w:pPr>
      <w:r>
        <w:rPr>
          <w:bCs/>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Антикоррупционная оговорка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color w:val="000000"/>
          <w:shd w:fill="auto"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hd w:fill="auto"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color w:val="000000"/>
          <w:shd w:fill="auto" w:val="clear"/>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color w:val="000000"/>
          <w:shd w:fill="auto" w:val="clea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color w:val="000000"/>
          <w:shd w:fill="auto" w:val="clea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color w:val="000000"/>
          <w:shd w:fill="auto" w:val="clear"/>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color w:val="000000"/>
          <w:shd w:fill="auto" w:val="clear"/>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color w:val="000000"/>
          <w:shd w:fill="auto" w:val="clear"/>
        </w:rPr>
        <w:t xml:space="preserve">Каналы связи Линия доверия Группы РусГидро: </w:t>
      </w:r>
    </w:p>
    <w:p>
      <w:pPr>
        <w:pStyle w:val="ListParagraph"/>
        <w:numPr>
          <w:ilvl w:val="2"/>
          <w:numId w:val="3"/>
        </w:numPr>
        <w:shd w:val="clear" w:color="auto" w:fill="FFFFFF"/>
        <w:tabs>
          <w:tab w:val="clear" w:pos="709"/>
          <w:tab w:val="left" w:pos="1134" w:leader="none"/>
        </w:tabs>
        <w:ind w:left="0" w:firstLine="709"/>
        <w:jc w:val="both"/>
        <w:rPr/>
      </w:pPr>
      <w:r>
        <w:rPr>
          <w:shd w:fill="auto" w:val="clear"/>
        </w:rPr>
        <w:t xml:space="preserve">Электронная почта: </w:t>
      </w:r>
      <w:hyperlink r:id="rId2" w:tgtFrame="mailto:ld@rushydro.ru">
        <w:r>
          <w:rPr>
            <w:rStyle w:val="Hyperlink"/>
            <w:shd w:fill="auto" w:val="clear"/>
          </w:rPr>
          <w:t>ld@rushydro.ru</w:t>
        </w:r>
      </w:hyperlink>
      <w:r>
        <w:rPr>
          <w:shd w:fill="auto" w:val="clear"/>
        </w:rPr>
        <w:t>.</w:t>
      </w:r>
    </w:p>
    <w:p>
      <w:pPr>
        <w:pStyle w:val="ListParagraph"/>
        <w:numPr>
          <w:ilvl w:val="2"/>
          <w:numId w:val="3"/>
        </w:numPr>
        <w:shd w:val="clear" w:color="auto" w:fill="FFFFFF"/>
        <w:tabs>
          <w:tab w:val="clear" w:pos="709"/>
          <w:tab w:val="left" w:pos="1134" w:leader="none"/>
        </w:tabs>
        <w:ind w:left="0" w:firstLine="709"/>
        <w:jc w:val="both"/>
        <w:rPr>
          <w:highlight w:val="none"/>
          <w:shd w:fill="auto" w:val="clear"/>
        </w:rPr>
      </w:pPr>
      <w:r>
        <w:rPr>
          <w:shd w:fill="auto" w:val="clear"/>
        </w:rPr>
        <w:t>Специальная форма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3"/>
        </w:numPr>
        <w:shd w:val="clear" w:color="auto" w:fill="FFFFFF"/>
        <w:tabs>
          <w:tab w:val="clear" w:pos="709"/>
          <w:tab w:val="left" w:pos="1134" w:leader="none"/>
        </w:tabs>
        <w:ind w:left="0" w:firstLine="709"/>
        <w:jc w:val="both"/>
        <w:rPr>
          <w:highlight w:val="none"/>
          <w:shd w:fill="auto" w:val="clear"/>
        </w:rPr>
      </w:pPr>
      <w:r>
        <w:rPr>
          <w:shd w:fill="auto" w:val="clea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spacing w:lineRule="auto" w:line="240"/>
        <w:ind w:hanging="0"/>
        <w:rPr>
          <w:b/>
          <w:sz w:val="24"/>
          <w:szCs w:val="24"/>
          <w:highlight w:val="none"/>
          <w:shd w:fill="auto" w:val="clear"/>
        </w:rPr>
      </w:pPr>
      <w:r>
        <w:rPr>
          <w:b/>
          <w:sz w:val="24"/>
          <w:szCs w:val="24"/>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Обстоятельства непреодолимой силы (форс-мажор)</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3"/>
        </w:numPr>
        <w:shd w:val="clear" w:color="auto" w:fill="FFFFFF"/>
        <w:tabs>
          <w:tab w:val="clear" w:pos="709"/>
          <w:tab w:val="left" w:pos="568" w:leader="none"/>
        </w:tabs>
        <w:ind w:left="0" w:firstLine="709"/>
        <w:jc w:val="both"/>
        <w:rPr>
          <w:highlight w:val="none"/>
          <w:shd w:fill="auto" w:val="clear"/>
        </w:rPr>
      </w:pPr>
      <w:r>
        <w:rPr>
          <w:bCs/>
          <w:shd w:fill="auto" w:val="clea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highlight w:val="none"/>
          <w:shd w:fill="auto" w:val="clear"/>
        </w:rPr>
      </w:pPr>
      <w:r>
        <w:rPr>
          <w:bCs/>
          <w:shd w:fill="auto" w:val="clear"/>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highlight w:val="none"/>
          <w:shd w:fill="auto" w:val="clear"/>
        </w:rPr>
      </w:pPr>
      <w:r>
        <w:rPr>
          <w:sz w:val="24"/>
          <w:szCs w:val="24"/>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Особые положения</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18" w:name="_Ref361337900"/>
      <w:r>
        <w:rPr>
          <w:bCs/>
          <w:shd w:fill="auto" w:val="clear"/>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2"/>
        </w:numPr>
        <w:shd w:val="clear" w:color="auto" w:fill="FFFFFF"/>
        <w:tabs>
          <w:tab w:val="clear" w:pos="709"/>
          <w:tab w:val="left" w:pos="1134" w:leader="none"/>
        </w:tabs>
        <w:ind w:left="0" w:firstLine="709"/>
        <w:jc w:val="both"/>
        <w:rPr/>
      </w:pPr>
      <w:r>
        <w:rPr>
          <w:bCs/>
          <w:shd w:fill="auto" w:val="clear"/>
        </w:rPr>
        <w:t xml:space="preserve"> </w:t>
      </w:r>
      <w:r>
        <w:rPr>
          <w:bCs/>
          <w:shd w:fill="auto" w:val="clear"/>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3" w:tgtFrame="consultantplus://offline/ref=94D5CE8889791A29DE57299515463A9D6134D8237B999C803E6F853513x2A2P">
        <w:r>
          <w:rPr>
            <w:bCs/>
            <w:shd w:fill="auto" w:val="clear"/>
          </w:rPr>
          <w:t>№ 18162/09</w:t>
        </w:r>
      </w:hyperlink>
      <w:r>
        <w:rPr>
          <w:bCs/>
          <w:shd w:fill="auto" w:val="clear"/>
        </w:rPr>
        <w:t xml:space="preserve"> и от 25.05.2010 </w:t>
      </w:r>
      <w:hyperlink r:id="rId4" w:tgtFrame="consultantplus://offline/ref=94D5CE8889791A29DE57299515463A9D6135D2287D929C803E6F853513x2A2P">
        <w:r>
          <w:rPr>
            <w:bCs/>
            <w:shd w:fill="auto" w:val="clear"/>
          </w:rPr>
          <w:t>№ 15658/09</w:t>
        </w:r>
      </w:hyperlink>
      <w:r>
        <w:rPr>
          <w:bCs/>
          <w:shd w:fill="auto" w:val="clea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2"/>
        </w:numPr>
        <w:shd w:val="clear" w:color="auto" w:fill="FFFFFF"/>
        <w:tabs>
          <w:tab w:val="clear" w:pos="709"/>
          <w:tab w:val="left" w:pos="1134" w:leader="none"/>
        </w:tabs>
        <w:ind w:left="0" w:firstLine="709"/>
        <w:jc w:val="both"/>
        <w:rPr/>
      </w:pPr>
      <w:r>
        <w:rPr>
          <w:bCs/>
          <w:shd w:fill="auto" w:val="clear"/>
        </w:rPr>
        <w:t xml:space="preserve">соответствующие </w:t>
      </w:r>
      <w:hyperlink r:id="rId5" w:tgtFrame="consultantplus://offline/ref=79440D5123ABA6A25F43346AB59DBAAC7032C8E1556DA64FAED62E167F76889C2B7C475C32EFC59BJ8rDH">
        <w:r>
          <w:rPr>
            <w:bCs/>
            <w:shd w:fill="auto" w:val="clear"/>
          </w:rPr>
          <w:t>Критери</w:t>
        </w:r>
      </w:hyperlink>
      <w:r>
        <w:rPr>
          <w:bCs/>
          <w:shd w:fill="auto" w:val="clear"/>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18"/>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19" w:name="_Ref361337921"/>
      <w:r>
        <w:rPr>
          <w:bCs/>
          <w:shd w:fill="auto" w:val="clear"/>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19"/>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20" w:name="_Ref361337948"/>
      <w:r>
        <w:rPr>
          <w:bCs/>
          <w:shd w:fill="auto" w:val="clear"/>
        </w:rPr>
        <w:t>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0"/>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21" w:name="_Ref361337980"/>
      <w:r>
        <w:rPr>
          <w:bCs/>
          <w:shd w:fill="auto" w:val="clea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21"/>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22" w:name="_Ref373243071"/>
      <w:r>
        <w:rPr>
          <w:bCs/>
          <w:shd w:fill="auto" w:val="clear"/>
        </w:rPr>
        <w:t>Штраф, предусмотренный пунктом 14.4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14.3 Договора.</w:t>
      </w:r>
      <w:bookmarkEnd w:id="22"/>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bookmarkStart w:id="23" w:name="_Ref361337992"/>
      <w:r>
        <w:rPr>
          <w:bCs/>
          <w:shd w:fill="auto" w:val="clear"/>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23"/>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9"/>
          <w:tab w:val="left" w:pos="567" w:leader="none"/>
        </w:tabs>
        <w:ind w:left="0" w:hanging="0"/>
        <w:jc w:val="both"/>
        <w:rPr>
          <w:bCs/>
          <w:highlight w:val="none"/>
          <w:shd w:fill="auto" w:val="clear"/>
        </w:rPr>
      </w:pPr>
      <w:r>
        <w:rPr>
          <w:bCs/>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Заверения</w:t>
      </w:r>
      <w:r>
        <w:rPr>
          <w:b/>
          <w:shd w:fill="auto" w:val="clear"/>
        </w:rPr>
        <w:t xml:space="preserve"> Сторон</w:t>
      </w:r>
    </w:p>
    <w:p>
      <w:pPr>
        <w:pStyle w:val="ListParagraph"/>
        <w:numPr>
          <w:ilvl w:val="1"/>
          <w:numId w:val="3"/>
        </w:numPr>
        <w:shd w:val="clear" w:color="auto" w:fill="FFFFFF"/>
        <w:tabs>
          <w:tab w:val="clear" w:pos="709"/>
          <w:tab w:val="left" w:pos="1134" w:leader="none"/>
          <w:tab w:val="left" w:pos="1418" w:leader="none"/>
        </w:tabs>
        <w:ind w:left="0" w:firstLine="709"/>
        <w:jc w:val="both"/>
        <w:rPr>
          <w:highlight w:val="none"/>
          <w:shd w:fill="auto" w:val="clear"/>
        </w:rPr>
      </w:pPr>
      <w:r>
        <w:rPr>
          <w:bCs/>
          <w:shd w:fill="auto" w:val="clear"/>
        </w:rPr>
        <w:t>Каждая</w:t>
      </w:r>
      <w:r>
        <w:rPr>
          <w:shd w:fill="auto" w:val="clear"/>
        </w:rPr>
        <w:t xml:space="preserve"> из Сторон заявляет и подтверждает другой Стороне, что: </w:t>
      </w:r>
    </w:p>
    <w:p>
      <w:pPr>
        <w:pStyle w:val="ListParagraph"/>
        <w:numPr>
          <w:ilvl w:val="0"/>
          <w:numId w:val="9"/>
        </w:numPr>
        <w:shd w:val="clear" w:color="auto" w:fill="FFFFFF"/>
        <w:tabs>
          <w:tab w:val="left" w:pos="709" w:leader="none"/>
          <w:tab w:val="left" w:pos="1418" w:leader="none"/>
        </w:tabs>
        <w:ind w:left="0" w:firstLine="709"/>
        <w:jc w:val="both"/>
        <w:rPr>
          <w:highlight w:val="none"/>
          <w:shd w:fill="auto" w:val="clear"/>
        </w:rPr>
      </w:pPr>
      <w:r>
        <w:rPr>
          <w:shd w:fill="auto" w:val="clea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9"/>
        </w:numPr>
        <w:shd w:val="clear" w:color="auto" w:fill="FFFFFF"/>
        <w:tabs>
          <w:tab w:val="left" w:pos="709" w:leader="none"/>
          <w:tab w:val="left" w:pos="1418" w:leader="none"/>
        </w:tabs>
        <w:ind w:left="0" w:firstLine="709"/>
        <w:jc w:val="both"/>
        <w:rPr>
          <w:highlight w:val="none"/>
          <w:shd w:fill="auto" w:val="clear"/>
        </w:rPr>
      </w:pPr>
      <w:r>
        <w:rPr>
          <w:shd w:fill="auto" w:val="clea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9"/>
        </w:numPr>
        <w:shd w:val="clear" w:color="auto" w:fill="FFFFFF"/>
        <w:tabs>
          <w:tab w:val="left" w:pos="709" w:leader="none"/>
          <w:tab w:val="left" w:pos="1418" w:leader="none"/>
        </w:tabs>
        <w:ind w:left="0" w:firstLine="709"/>
        <w:jc w:val="both"/>
        <w:rPr>
          <w:highlight w:val="none"/>
          <w:shd w:fill="auto" w:val="clear"/>
        </w:rPr>
      </w:pPr>
      <w:r>
        <w:rPr>
          <w:shd w:fill="auto" w:val="clea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9"/>
        </w:numPr>
        <w:shd w:val="clear" w:color="auto" w:fill="FFFFFF"/>
        <w:tabs>
          <w:tab w:val="left" w:pos="709" w:leader="none"/>
          <w:tab w:val="left" w:pos="1418" w:leader="none"/>
        </w:tabs>
        <w:ind w:left="0" w:firstLine="709"/>
        <w:jc w:val="both"/>
        <w:rPr>
          <w:highlight w:val="none"/>
          <w:shd w:fill="auto" w:val="clear"/>
        </w:rPr>
      </w:pPr>
      <w:r>
        <w:rPr>
          <w:shd w:fill="auto" w:val="clear"/>
        </w:rPr>
        <w:t>лица, подписывающие от имени Сторон Договор, надлежащим образом уполномочены на его подписание;</w:t>
      </w:r>
    </w:p>
    <w:p>
      <w:pPr>
        <w:pStyle w:val="ListParagraph"/>
        <w:numPr>
          <w:ilvl w:val="0"/>
          <w:numId w:val="9"/>
        </w:numPr>
        <w:shd w:val="clear" w:color="auto" w:fill="FFFFFF"/>
        <w:tabs>
          <w:tab w:val="left" w:pos="709" w:leader="none"/>
          <w:tab w:val="left" w:pos="1418" w:leader="none"/>
        </w:tabs>
        <w:ind w:left="0" w:firstLine="709"/>
        <w:jc w:val="both"/>
        <w:rPr>
          <w:highlight w:val="none"/>
          <w:shd w:fill="auto" w:val="clear"/>
        </w:rPr>
      </w:pPr>
      <w:r>
        <w:rPr>
          <w:shd w:fill="auto" w:val="clea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3"/>
        </w:numPr>
        <w:shd w:val="clear" w:color="auto" w:fill="FFFFFF"/>
        <w:tabs>
          <w:tab w:val="clear" w:pos="709"/>
          <w:tab w:val="left" w:pos="1134" w:leader="none"/>
          <w:tab w:val="left" w:pos="1418" w:leader="none"/>
        </w:tabs>
        <w:ind w:left="0" w:firstLine="709"/>
        <w:jc w:val="both"/>
        <w:rPr>
          <w:highlight w:val="none"/>
          <w:shd w:fill="auto" w:val="clear"/>
        </w:rPr>
      </w:pPr>
      <w:r>
        <w:rPr>
          <w:shd w:fill="auto" w:val="clear"/>
        </w:rPr>
        <w:t>Подрядчик заявляет и заверяет Заказчика в том, что на момент заключения Договора:</w:t>
      </w:r>
    </w:p>
    <w:p>
      <w:pPr>
        <w:pStyle w:val="ListParagraph"/>
        <w:numPr>
          <w:ilvl w:val="0"/>
          <w:numId w:val="11"/>
        </w:numPr>
        <w:shd w:val="clear" w:color="auto" w:fill="FFFFFF"/>
        <w:tabs>
          <w:tab w:val="left" w:pos="709" w:leader="none"/>
          <w:tab w:val="left" w:pos="1418" w:leader="none"/>
        </w:tabs>
        <w:ind w:left="0" w:firstLine="709"/>
        <w:jc w:val="both"/>
        <w:rPr>
          <w:highlight w:val="none"/>
          <w:shd w:fill="auto" w:val="clear"/>
        </w:rPr>
      </w:pPr>
      <w:r>
        <w:rPr>
          <w:shd w:fill="auto" w:val="clear"/>
        </w:rPr>
        <w:t>учредителем / учредителями Подрядчика являются лица, не являющиеся массовыми учредителем / учредителями;</w:t>
      </w:r>
    </w:p>
    <w:p>
      <w:pPr>
        <w:pStyle w:val="ListParagraph"/>
        <w:numPr>
          <w:ilvl w:val="0"/>
          <w:numId w:val="11"/>
        </w:numPr>
        <w:shd w:val="clear" w:color="auto" w:fill="FFFFFF"/>
        <w:tabs>
          <w:tab w:val="left" w:pos="709" w:leader="none"/>
          <w:tab w:val="left" w:pos="1418" w:leader="none"/>
        </w:tabs>
        <w:ind w:left="0" w:firstLine="709"/>
        <w:jc w:val="both"/>
        <w:rPr>
          <w:highlight w:val="none"/>
          <w:shd w:fill="auto" w:val="clear"/>
        </w:rPr>
      </w:pPr>
      <w:r>
        <w:rPr>
          <w:shd w:fill="auto" w:val="clear"/>
        </w:rPr>
        <w:t>руководителем Подрядчика является лицо, не являющееся массовым руководителем;</w:t>
      </w:r>
    </w:p>
    <w:p>
      <w:pPr>
        <w:pStyle w:val="ListParagraph"/>
        <w:numPr>
          <w:ilvl w:val="0"/>
          <w:numId w:val="11"/>
        </w:numPr>
        <w:shd w:val="clear" w:color="auto" w:fill="FFFFFF"/>
        <w:tabs>
          <w:tab w:val="left" w:pos="709" w:leader="none"/>
          <w:tab w:val="left" w:pos="1418" w:leader="none"/>
        </w:tabs>
        <w:ind w:left="0" w:firstLine="709"/>
        <w:jc w:val="both"/>
        <w:rPr>
          <w:highlight w:val="none"/>
          <w:shd w:fill="auto" w:val="clear"/>
        </w:rPr>
      </w:pPr>
      <w:r>
        <w:rPr>
          <w:shd w:fill="auto" w:val="clea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1"/>
        </w:numPr>
        <w:shd w:val="clear" w:color="auto" w:fill="FFFFFF"/>
        <w:tabs>
          <w:tab w:val="left" w:pos="709" w:leader="none"/>
          <w:tab w:val="left" w:pos="1418" w:leader="none"/>
        </w:tabs>
        <w:ind w:left="0" w:firstLine="709"/>
        <w:jc w:val="both"/>
        <w:rPr>
          <w:highlight w:val="none"/>
          <w:shd w:fill="auto" w:val="clear"/>
        </w:rPr>
      </w:pPr>
      <w:r>
        <w:rPr>
          <w:shd w:fill="auto" w:val="clea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0"/>
        </w:numPr>
        <w:shd w:val="clear" w:color="auto" w:fill="FFFFFF"/>
        <w:tabs>
          <w:tab w:val="clear" w:pos="709"/>
          <w:tab w:val="left" w:pos="567" w:leader="none"/>
          <w:tab w:val="left" w:pos="1418" w:leader="none"/>
        </w:tabs>
        <w:ind w:left="0" w:firstLine="709"/>
        <w:jc w:val="both"/>
        <w:rPr>
          <w:highlight w:val="none"/>
          <w:shd w:fill="auto" w:val="clear"/>
        </w:rPr>
      </w:pPr>
      <w:r>
        <w:rPr>
          <w:shd w:fill="auto" w:val="clea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0"/>
        </w:numPr>
        <w:shd w:val="clear" w:color="auto" w:fill="FFFFFF"/>
        <w:tabs>
          <w:tab w:val="clear" w:pos="709"/>
          <w:tab w:val="left" w:pos="567" w:leader="none"/>
          <w:tab w:val="left" w:pos="1418" w:leader="none"/>
        </w:tabs>
        <w:ind w:left="0" w:firstLine="709"/>
        <w:jc w:val="both"/>
        <w:rPr>
          <w:highlight w:val="none"/>
          <w:shd w:fill="auto" w:val="clear"/>
        </w:rPr>
      </w:pPr>
      <w:r>
        <w:rPr>
          <w:shd w:fill="auto" w:val="clear"/>
        </w:rPr>
        <w:t>Подрядчик состоит в СРО, основанной на членстве лиц осуществляющих строительство;</w:t>
      </w:r>
    </w:p>
    <w:p>
      <w:pPr>
        <w:pStyle w:val="ListParagraph"/>
        <w:numPr>
          <w:ilvl w:val="0"/>
          <w:numId w:val="10"/>
        </w:numPr>
        <w:shd w:val="clear" w:color="auto" w:fill="FFFFFF"/>
        <w:tabs>
          <w:tab w:val="clear" w:pos="709"/>
          <w:tab w:val="left" w:pos="567" w:leader="none"/>
          <w:tab w:val="left" w:pos="1418" w:leader="none"/>
        </w:tabs>
        <w:ind w:left="0" w:firstLine="709"/>
        <w:jc w:val="both"/>
        <w:rPr>
          <w:highlight w:val="none"/>
          <w:shd w:fill="auto" w:val="clear"/>
        </w:rPr>
      </w:pPr>
      <w:r>
        <w:rPr>
          <w:shd w:fill="auto" w:val="clea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pPr>
        <w:pStyle w:val="ListParagraph"/>
        <w:numPr>
          <w:ilvl w:val="0"/>
          <w:numId w:val="10"/>
        </w:numPr>
        <w:shd w:val="clear" w:color="auto" w:fill="FFFFFF"/>
        <w:tabs>
          <w:tab w:val="clear" w:pos="709"/>
          <w:tab w:val="left" w:pos="567" w:leader="none"/>
          <w:tab w:val="left" w:pos="1418" w:leader="none"/>
        </w:tabs>
        <w:ind w:left="0" w:firstLine="709"/>
        <w:jc w:val="both"/>
        <w:rPr>
          <w:highlight w:val="none"/>
          <w:shd w:fill="auto" w:val="clear"/>
        </w:rPr>
      </w:pPr>
      <w:r>
        <w:rPr>
          <w:shd w:fill="auto" w:val="clea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0"/>
        </w:numPr>
        <w:shd w:val="clear" w:color="auto" w:fill="FFFFFF"/>
        <w:tabs>
          <w:tab w:val="clear" w:pos="709"/>
          <w:tab w:val="left" w:pos="567" w:leader="none"/>
          <w:tab w:val="left" w:pos="1418" w:leader="none"/>
        </w:tabs>
        <w:ind w:left="0" w:firstLine="709"/>
        <w:jc w:val="both"/>
        <w:rPr>
          <w:highlight w:val="none"/>
          <w:shd w:fill="auto" w:val="clear"/>
        </w:rPr>
      </w:pPr>
      <w:r>
        <w:rPr>
          <w:shd w:fill="auto" w:val="clea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0"/>
        </w:numPr>
        <w:shd w:val="clear" w:color="auto" w:fill="FFFFFF"/>
        <w:tabs>
          <w:tab w:val="clear" w:pos="709"/>
          <w:tab w:val="left" w:pos="567" w:leader="none"/>
          <w:tab w:val="left" w:pos="1418" w:leader="none"/>
        </w:tabs>
        <w:ind w:left="0" w:firstLine="709"/>
        <w:jc w:val="both"/>
        <w:rPr>
          <w:highlight w:val="none"/>
          <w:shd w:fill="auto" w:val="clear"/>
        </w:rPr>
      </w:pPr>
      <w:r>
        <w:rPr>
          <w:shd w:fill="auto" w:val="clea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0"/>
        </w:numPr>
        <w:shd w:val="clear" w:color="auto" w:fill="FFFFFF"/>
        <w:tabs>
          <w:tab w:val="clear" w:pos="709"/>
          <w:tab w:val="left" w:pos="567" w:leader="none"/>
          <w:tab w:val="left" w:pos="1418" w:leader="none"/>
        </w:tabs>
        <w:ind w:left="0" w:firstLine="709"/>
        <w:jc w:val="both"/>
        <w:rPr>
          <w:highlight w:val="none"/>
          <w:shd w:fill="auto" w:val="clear"/>
        </w:rPr>
      </w:pPr>
      <w:r>
        <w:rPr>
          <w:shd w:fill="auto" w:val="clea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0"/>
        </w:numPr>
        <w:shd w:val="clear" w:color="auto" w:fill="FFFFFF"/>
        <w:tabs>
          <w:tab w:val="clear" w:pos="709"/>
          <w:tab w:val="left" w:pos="567" w:leader="none"/>
          <w:tab w:val="left" w:pos="1418" w:leader="none"/>
        </w:tabs>
        <w:ind w:left="0" w:firstLine="709"/>
        <w:jc w:val="both"/>
        <w:rPr>
          <w:highlight w:val="none"/>
          <w:shd w:fill="auto" w:val="clear"/>
        </w:rPr>
      </w:pPr>
      <w:r>
        <w:rPr>
          <w:shd w:fill="auto" w:val="clea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3"/>
        </w:numPr>
        <w:spacing w:lineRule="auto" w:line="240"/>
        <w:ind w:left="0" w:firstLine="709"/>
        <w:rPr>
          <w:highlight w:val="none"/>
          <w:shd w:fill="auto" w:val="clear"/>
        </w:rPr>
      </w:pPr>
      <w:r>
        <w:rPr>
          <w:sz w:val="24"/>
          <w:szCs w:val="24"/>
          <w:shd w:fill="auto" w:val="clea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3"/>
        </w:numPr>
        <w:shd w:val="clear" w:color="auto" w:fill="FFFFFF"/>
        <w:tabs>
          <w:tab w:val="clear" w:pos="709"/>
          <w:tab w:val="left" w:pos="1134" w:leader="none"/>
          <w:tab w:val="left" w:pos="1418" w:leader="none"/>
        </w:tabs>
        <w:ind w:left="0" w:firstLine="709"/>
        <w:jc w:val="both"/>
        <w:rPr>
          <w:highlight w:val="none"/>
          <w:shd w:fill="auto" w:val="clear"/>
        </w:rPr>
      </w:pPr>
      <w:r>
        <w:rPr>
          <w:shd w:fill="auto" w:val="clear"/>
        </w:rPr>
        <w:t xml:space="preserve">В случае, если </w:t>
      </w:r>
      <w:r>
        <w:rPr>
          <w:bCs/>
          <w:shd w:fill="auto" w:val="clear"/>
        </w:rPr>
        <w:t>Подрядчик</w:t>
      </w:r>
      <w:r>
        <w:rPr>
          <w:shd w:fill="auto" w:val="clea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shd w:fill="auto" w:val="clear"/>
        </w:rPr>
        <w:t xml:space="preserve">Подрядчик </w:t>
      </w:r>
      <w:r>
        <w:rPr>
          <w:shd w:fill="auto" w:val="clea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3"/>
        </w:numPr>
        <w:shd w:val="clear" w:color="auto" w:fill="FFFFFF"/>
        <w:tabs>
          <w:tab w:val="clear" w:pos="709"/>
          <w:tab w:val="left" w:pos="1134" w:leader="none"/>
          <w:tab w:val="left" w:pos="1418" w:leader="none"/>
        </w:tabs>
        <w:ind w:left="0" w:firstLine="709"/>
        <w:jc w:val="both"/>
        <w:rPr>
          <w:highlight w:val="none"/>
          <w:shd w:fill="auto" w:val="clear"/>
        </w:rPr>
      </w:pPr>
      <w:r>
        <w:rPr>
          <w:shd w:fill="auto" w:val="clea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709" w:hanging="0"/>
        <w:jc w:val="both"/>
        <w:rPr>
          <w:b/>
          <w:highlight w:val="none"/>
          <w:shd w:fill="auto" w:val="clear"/>
        </w:rPr>
      </w:pPr>
      <w:r>
        <w:rPr>
          <w:b/>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П</w:t>
      </w:r>
      <w:r>
        <w:rPr>
          <w:b/>
          <w:shd w:fill="auto" w:val="clear"/>
        </w:rPr>
        <w:t>рекращение (расторжение) Договора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 xml:space="preserve">Заказчик вправе в любое время до сдачи ему Результата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9"/>
          <w:tab w:val="left" w:pos="1134" w:leader="none"/>
        </w:tabs>
        <w:ind w:left="0" w:firstLine="709"/>
        <w:jc w:val="both"/>
        <w:rPr>
          <w:highlight w:val="none"/>
          <w:shd w:fill="auto" w:val="clear"/>
        </w:rPr>
      </w:pPr>
      <w:r>
        <w:rPr>
          <w:shd w:fill="auto" w:val="clea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9"/>
          <w:tab w:val="left" w:pos="1134" w:leader="none"/>
        </w:tabs>
        <w:ind w:left="0" w:firstLine="709"/>
        <w:jc w:val="both"/>
        <w:rPr>
          <w:highlight w:val="none"/>
          <w:shd w:fill="auto" w:val="clear"/>
        </w:rPr>
      </w:pPr>
      <w:r>
        <w:rPr>
          <w:shd w:fill="auto" w:val="clea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Стороны установили, что существенным нарушением Договора Подрядчиком является:</w:t>
      </w:r>
    </w:p>
    <w:p>
      <w:pPr>
        <w:pStyle w:val="ListParagraph"/>
        <w:numPr>
          <w:ilvl w:val="0"/>
          <w:numId w:val="8"/>
        </w:numPr>
        <w:tabs>
          <w:tab w:val="clear" w:pos="709"/>
          <w:tab w:val="left" w:pos="1134" w:leader="none"/>
        </w:tabs>
        <w:ind w:left="0" w:right="23" w:firstLine="709"/>
        <w:jc w:val="both"/>
        <w:rPr>
          <w:highlight w:val="none"/>
          <w:shd w:fill="auto" w:val="clear"/>
        </w:rPr>
      </w:pPr>
      <w:r>
        <w:rPr>
          <w:shd w:fill="auto" w:val="clea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Графиком выполнения Работ (Приложение № 3 к Договору), более чем на 60 (шестьдесят) календарных дней по причинам, не зависящим от Заказчика;</w:t>
      </w:r>
    </w:p>
    <w:p>
      <w:pPr>
        <w:pStyle w:val="ListParagraph"/>
        <w:numPr>
          <w:ilvl w:val="0"/>
          <w:numId w:val="8"/>
        </w:numPr>
        <w:tabs>
          <w:tab w:val="clear" w:pos="709"/>
          <w:tab w:val="left" w:pos="1134" w:leader="none"/>
        </w:tabs>
        <w:ind w:left="0" w:right="23" w:firstLine="709"/>
        <w:jc w:val="both"/>
        <w:rPr>
          <w:highlight w:val="none"/>
          <w:shd w:fill="auto" w:val="clear"/>
        </w:rPr>
      </w:pPr>
      <w:r>
        <w:rPr>
          <w:shd w:fill="auto" w:val="clear"/>
        </w:rPr>
        <w:t>несоблюдение Подрядчиком требований к качеству Работ и / или используемых при выполнении Работ Материально-технических ресурсов</w:t>
      </w:r>
      <w:r>
        <w:rPr>
          <w:bCs/>
          <w:shd w:fill="auto" w:val="clear"/>
        </w:rPr>
        <w:t xml:space="preserve"> и оборудования</w:t>
      </w:r>
      <w:r>
        <w:rPr>
          <w:shd w:fill="auto" w:val="clear"/>
        </w:rPr>
        <w:t>,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8"/>
        </w:numPr>
        <w:tabs>
          <w:tab w:val="clear" w:pos="709"/>
          <w:tab w:val="left" w:pos="1134" w:leader="none"/>
        </w:tabs>
        <w:ind w:left="0" w:right="23" w:firstLine="709"/>
        <w:jc w:val="both"/>
        <w:rPr>
          <w:highlight w:val="none"/>
          <w:shd w:fill="auto" w:val="clear"/>
        </w:rPr>
      </w:pPr>
      <w:r>
        <w:rPr>
          <w:shd w:fill="auto" w:val="clea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8"/>
        </w:numPr>
        <w:tabs>
          <w:tab w:val="clear" w:pos="709"/>
          <w:tab w:val="left" w:pos="1134" w:leader="none"/>
        </w:tabs>
        <w:ind w:left="0" w:right="23" w:firstLine="709"/>
        <w:jc w:val="both"/>
        <w:rPr>
          <w:highlight w:val="none"/>
          <w:shd w:fill="auto" w:val="clear"/>
        </w:rPr>
      </w:pPr>
      <w:r>
        <w:rPr>
          <w:shd w:fill="auto" w:val="clear"/>
        </w:rPr>
        <w:t>прекращение членства в СРО, основанной на членстве лиц, выполняющих осуществляющих строительство, предоставляющих Подрядчику право на производство Работ по Договору;</w:t>
      </w:r>
    </w:p>
    <w:p>
      <w:pPr>
        <w:pStyle w:val="ListParagraph"/>
        <w:numPr>
          <w:ilvl w:val="0"/>
          <w:numId w:val="8"/>
        </w:numPr>
        <w:tabs>
          <w:tab w:val="clear" w:pos="709"/>
          <w:tab w:val="left" w:pos="1134" w:leader="none"/>
        </w:tabs>
        <w:ind w:left="0" w:right="23" w:firstLine="709"/>
        <w:jc w:val="both"/>
        <w:rPr>
          <w:highlight w:val="none"/>
          <w:shd w:fill="auto" w:val="clear"/>
        </w:rPr>
      </w:pPr>
      <w:r>
        <w:rPr>
          <w:shd w:fill="auto"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8"/>
        </w:numPr>
        <w:tabs>
          <w:tab w:val="clear" w:pos="709"/>
          <w:tab w:val="left" w:pos="1134" w:leader="none"/>
        </w:tabs>
        <w:ind w:left="0" w:right="23" w:firstLine="709"/>
        <w:jc w:val="both"/>
        <w:rPr>
          <w:highlight w:val="none"/>
          <w:shd w:fill="auto" w:val="clear"/>
        </w:rPr>
      </w:pPr>
      <w:r>
        <w:rPr>
          <w:shd w:fill="auto" w:val="clea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8"/>
        </w:numPr>
        <w:tabs>
          <w:tab w:val="clear" w:pos="709"/>
          <w:tab w:val="left" w:pos="1134" w:leader="none"/>
        </w:tabs>
        <w:ind w:left="0" w:right="23" w:firstLine="709"/>
        <w:jc w:val="both"/>
        <w:rPr>
          <w:highlight w:val="none"/>
          <w:shd w:fill="auto" w:val="clear"/>
        </w:rPr>
      </w:pPr>
      <w:r>
        <w:rPr>
          <w:shd w:fill="auto" w:val="clea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8"/>
        </w:numPr>
        <w:tabs>
          <w:tab w:val="clear" w:pos="709"/>
          <w:tab w:val="left" w:pos="1134" w:leader="none"/>
        </w:tabs>
        <w:ind w:left="0" w:right="23" w:firstLine="709"/>
        <w:jc w:val="both"/>
        <w:rPr>
          <w:highlight w:val="none"/>
          <w:shd w:fill="auto" w:val="clear"/>
        </w:rPr>
      </w:pPr>
      <w:r>
        <w:rPr>
          <w:shd w:fill="auto" w:val="clea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8"/>
        </w:numPr>
        <w:shd w:val="clear" w:color="auto" w:fill="FFFFFF"/>
        <w:tabs>
          <w:tab w:val="clear" w:pos="709"/>
          <w:tab w:val="left" w:pos="1418" w:leader="none"/>
        </w:tabs>
        <w:ind w:left="0" w:firstLine="709"/>
        <w:jc w:val="both"/>
        <w:rPr>
          <w:highlight w:val="none"/>
          <w:shd w:fill="auto" w:val="clear"/>
        </w:rPr>
      </w:pPr>
      <w:r>
        <w:rPr>
          <w:shd w:fill="auto" w:val="clear"/>
        </w:rPr>
        <w:t>передать Заказчику Результат Работ, техническую и иную полученную документацию, закупленные Материально-технические ресурсы</w:t>
      </w:r>
      <w:r>
        <w:rPr>
          <w:bCs/>
          <w:shd w:fill="auto" w:val="clear"/>
        </w:rPr>
        <w:t xml:space="preserve"> и оборудование;</w:t>
      </w:r>
    </w:p>
    <w:p>
      <w:pPr>
        <w:pStyle w:val="ListParagraph"/>
        <w:numPr>
          <w:ilvl w:val="0"/>
          <w:numId w:val="18"/>
        </w:numPr>
        <w:shd w:val="clear" w:color="auto" w:fill="FFFFFF"/>
        <w:tabs>
          <w:tab w:val="clear" w:pos="709"/>
          <w:tab w:val="left" w:pos="1418" w:leader="none"/>
        </w:tabs>
        <w:ind w:left="0" w:firstLine="709"/>
        <w:jc w:val="both"/>
        <w:rPr>
          <w:highlight w:val="none"/>
          <w:shd w:fill="auto" w:val="clear"/>
        </w:rPr>
      </w:pPr>
      <w:r>
        <w:rPr>
          <w:shd w:fill="auto" w:val="clear"/>
        </w:rPr>
        <w:t>вывезти с места производства Работ собственную строительную технику</w:t>
      </w:r>
      <w:r>
        <w:rPr>
          <w:rFonts w:cs="Verdana"/>
          <w:shd w:fill="auto" w:val="clear"/>
        </w:rPr>
        <w:t xml:space="preserve"> и персонал Подрядчика; </w:t>
      </w:r>
    </w:p>
    <w:p>
      <w:pPr>
        <w:pStyle w:val="ListParagraph"/>
        <w:numPr>
          <w:ilvl w:val="0"/>
          <w:numId w:val="18"/>
        </w:numPr>
        <w:shd w:val="clear" w:color="auto" w:fill="FFFFFF"/>
        <w:tabs>
          <w:tab w:val="clear" w:pos="709"/>
          <w:tab w:val="left" w:pos="1418" w:leader="none"/>
        </w:tabs>
        <w:ind w:left="0" w:firstLine="709"/>
        <w:jc w:val="both"/>
        <w:rPr>
          <w:highlight w:val="none"/>
          <w:shd w:fill="auto" w:val="clear"/>
        </w:rPr>
      </w:pPr>
      <w:r>
        <w:rPr>
          <w:rFonts w:cs="Verdana"/>
          <w:shd w:fill="auto" w:val="clear"/>
        </w:rPr>
        <w:t xml:space="preserve">удалить </w:t>
      </w:r>
      <w:r>
        <w:rPr>
          <w:shd w:fill="auto" w:val="clear"/>
        </w:rPr>
        <w:t xml:space="preserve">с места производства Работ </w:t>
      </w:r>
      <w:r>
        <w:rPr>
          <w:rFonts w:cs="Verdana"/>
          <w:shd w:fill="auto" w:val="clear"/>
        </w:rPr>
        <w:t>весь мусор и все остаточные продукты любого рода и оставить Строительную площадку чистой и безопасной.</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3.3.5 Договора.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Normal"/>
        <w:shd w:val="clear" w:color="auto" w:fill="FFFFFF"/>
        <w:tabs>
          <w:tab w:val="clear" w:pos="709"/>
          <w:tab w:val="left" w:pos="1134" w:leader="none"/>
        </w:tabs>
        <w:spacing w:lineRule="auto" w:line="240"/>
        <w:ind w:hanging="0"/>
        <w:rPr>
          <w:highlight w:val="none"/>
          <w:shd w:fill="auto" w:val="clear"/>
        </w:rPr>
      </w:pPr>
      <w:r>
        <w:rPr>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Заключительные положения</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 xml:space="preserve">Договор вступает в силу с даты его подписания Сторонами и действует до _________________, а в части неисполненных обязательств – до полного исполнения.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shd w:fill="auto" w:val="clea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w:t>
      </w:r>
    </w:p>
    <w:p>
      <w:pPr>
        <w:pStyle w:val="ListParagraph"/>
        <w:numPr>
          <w:ilvl w:val="1"/>
          <w:numId w:val="3"/>
        </w:numPr>
        <w:shd w:val="clear" w:color="auto" w:fill="FFFFFF"/>
        <w:tabs>
          <w:tab w:val="clear" w:pos="709"/>
          <w:tab w:val="left" w:pos="0" w:leader="none"/>
          <w:tab w:val="left" w:pos="1134" w:leader="none"/>
          <w:tab w:val="left" w:pos="1418" w:leader="none"/>
        </w:tabs>
        <w:ind w:left="0" w:firstLine="709"/>
        <w:jc w:val="both"/>
        <w:rPr>
          <w:highlight w:val="none"/>
          <w:shd w:fill="auto" w:val="clear"/>
        </w:rPr>
      </w:pPr>
      <w:bookmarkStart w:id="24" w:name="_Ref361338004"/>
      <w:r>
        <w:rPr>
          <w:shd w:fill="auto" w:val="clea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24"/>
      <w:r>
        <w:rPr>
          <w:shd w:fill="auto" w:val="clear"/>
        </w:rPr>
        <w:t xml:space="preserve"> </w:t>
      </w:r>
    </w:p>
    <w:p>
      <w:pPr>
        <w:pStyle w:val="ListParagraph"/>
        <w:numPr>
          <w:ilvl w:val="1"/>
          <w:numId w:val="3"/>
        </w:numPr>
        <w:shd w:val="clear" w:color="auto" w:fill="FFFFFF"/>
        <w:tabs>
          <w:tab w:val="clear" w:pos="709"/>
          <w:tab w:val="left" w:pos="0" w:leader="none"/>
          <w:tab w:val="left" w:pos="1134" w:leader="none"/>
          <w:tab w:val="left" w:pos="1418" w:leader="none"/>
        </w:tabs>
        <w:ind w:left="0" w:firstLine="709"/>
        <w:jc w:val="both"/>
        <w:rPr>
          <w:highlight w:val="none"/>
          <w:shd w:fill="auto" w:val="clear"/>
        </w:rPr>
      </w:pPr>
      <w:r>
        <w:rPr>
          <w:shd w:fill="auto" w:val="clear"/>
        </w:rPr>
        <w:t>Письма, уведомления и / или сообщения направляются Стороне</w:t>
      </w:r>
      <w:r>
        <w:rPr>
          <w:bCs/>
          <w:shd w:fill="auto" w:val="clear"/>
        </w:rPr>
        <w:t>-</w:t>
      </w:r>
      <w:r>
        <w:rPr>
          <w:shd w:fill="auto" w:val="clear"/>
        </w:rPr>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shd w:fill="auto" w:val="clear"/>
        </w:rPr>
        <w:t xml:space="preserve"> будет считаться полученным</w:t>
      </w:r>
      <w:r>
        <w:rPr>
          <w:shd w:fill="auto" w:val="clear"/>
        </w:rPr>
        <w:t xml:space="preserve">: </w:t>
      </w:r>
    </w:p>
    <w:p>
      <w:pPr>
        <w:pStyle w:val="ListParagraph"/>
        <w:widowControl w:val="false"/>
        <w:numPr>
          <w:ilvl w:val="2"/>
          <w:numId w:val="3"/>
        </w:numPr>
        <w:ind w:left="0" w:firstLine="709"/>
        <w:jc w:val="both"/>
        <w:rPr>
          <w:highlight w:val="none"/>
          <w:shd w:fill="auto" w:val="clear"/>
        </w:rPr>
      </w:pPr>
      <w:r>
        <w:rPr>
          <w:bCs/>
          <w:shd w:fill="auto" w:val="clear"/>
        </w:rPr>
        <w:t xml:space="preserve">Заказным почтовым отправлением с уведомлением о вручении – </w:t>
      </w:r>
      <w:r>
        <w:rPr>
          <w:shd w:fill="auto" w:val="clea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3"/>
        </w:numPr>
        <w:ind w:left="0" w:firstLine="709"/>
        <w:jc w:val="both"/>
        <w:rPr>
          <w:highlight w:val="none"/>
          <w:shd w:fill="auto" w:val="clear"/>
        </w:rPr>
      </w:pPr>
      <w:r>
        <w:rPr>
          <w:bCs/>
          <w:shd w:fill="auto"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hd w:fill="auto" w:val="clear"/>
        </w:rPr>
        <w:t xml:space="preserve">; </w:t>
      </w:r>
    </w:p>
    <w:p>
      <w:pPr>
        <w:pStyle w:val="ListParagraph"/>
        <w:widowControl w:val="false"/>
        <w:numPr>
          <w:ilvl w:val="2"/>
          <w:numId w:val="3"/>
        </w:numPr>
        <w:ind w:left="0" w:firstLine="709"/>
        <w:jc w:val="both"/>
        <w:rPr>
          <w:highlight w:val="none"/>
          <w:shd w:fill="auto" w:val="clear"/>
        </w:rPr>
      </w:pPr>
      <w:r>
        <w:rPr>
          <w:bCs/>
          <w:shd w:fill="auto" w:val="clear"/>
        </w:rPr>
        <w:t>Посредством электронной почты (</w:t>
      </w:r>
      <w:r>
        <w:rPr>
          <w:bCs/>
          <w:shd w:fill="auto" w:val="clear"/>
          <w:lang w:val="en-US"/>
        </w:rPr>
        <w:t>e</w:t>
      </w:r>
      <w:r>
        <w:rPr>
          <w:bCs/>
          <w:shd w:fill="auto" w:val="clear"/>
        </w:rPr>
        <w:t>-</w:t>
      </w:r>
      <w:r>
        <w:rPr>
          <w:bCs/>
          <w:shd w:fill="auto" w:val="clear"/>
          <w:lang w:val="en-US"/>
        </w:rPr>
        <w:t>mail</w:t>
      </w:r>
      <w:r>
        <w:rPr>
          <w:bCs/>
          <w:shd w:fill="auto" w:val="clear"/>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426"/>
        <w:jc w:val="both"/>
        <w:rPr>
          <w:highlight w:val="none"/>
          <w:shd w:fill="auto" w:val="clear"/>
        </w:rPr>
      </w:pPr>
      <w:r>
        <w:rPr>
          <w:bCs/>
          <w:shd w:fill="auto" w:val="clear"/>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 –17.17.1 Договора. </w:t>
      </w:r>
    </w:p>
    <w:p>
      <w:pPr>
        <w:pStyle w:val="Normal"/>
        <w:numPr>
          <w:ilvl w:val="1"/>
          <w:numId w:val="3"/>
        </w:numPr>
        <w:spacing w:lineRule="auto" w:line="240"/>
        <w:ind w:left="0" w:firstLine="709"/>
        <w:rPr>
          <w:sz w:val="24"/>
          <w:szCs w:val="24"/>
        </w:rPr>
      </w:pPr>
      <w:r>
        <w:rPr>
          <w:bCs/>
          <w:sz w:val="24"/>
          <w:szCs w:val="24"/>
          <w:shd w:fill="auto" w:val="clear"/>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3"/>
        </w:numPr>
        <w:shd w:val="clear" w:color="auto" w:fill="FFFFFF"/>
        <w:tabs>
          <w:tab w:val="clear" w:pos="709"/>
          <w:tab w:val="left" w:pos="568" w:leader="none"/>
        </w:tabs>
        <w:ind w:left="0" w:firstLine="709"/>
        <w:jc w:val="both"/>
        <w:rPr>
          <w:highlight w:val="none"/>
          <w:shd w:fill="auto" w:val="clear"/>
        </w:rPr>
      </w:pPr>
      <w:r>
        <w:rPr>
          <w:shd w:fill="auto" w:val="clear"/>
        </w:rPr>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w:t>
      </w:r>
    </w:p>
    <w:p>
      <w:pPr>
        <w:pStyle w:val="ListParagraph"/>
        <w:numPr>
          <w:ilvl w:val="1"/>
          <w:numId w:val="3"/>
        </w:numPr>
        <w:shd w:val="clear" w:color="auto" w:fill="FFFFFF"/>
        <w:tabs>
          <w:tab w:val="clear" w:pos="709"/>
          <w:tab w:val="left" w:pos="568" w:leader="none"/>
        </w:tabs>
        <w:ind w:left="0" w:firstLine="709"/>
        <w:jc w:val="both"/>
        <w:rPr>
          <w:highlight w:val="none"/>
          <w:shd w:fill="auto" w:val="clear"/>
        </w:rPr>
      </w:pPr>
      <w:r>
        <w:rPr>
          <w:sz w:val="24"/>
          <w:szCs w:val="24"/>
          <w:shd w:fill="auto" w:val="clear"/>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pPr>
        <w:pStyle w:val="ListParagraph"/>
        <w:numPr>
          <w:ilvl w:val="1"/>
          <w:numId w:val="3"/>
        </w:numPr>
        <w:shd w:val="clear" w:color="auto" w:fill="FFFFFF"/>
        <w:tabs>
          <w:tab w:val="clear" w:pos="709"/>
          <w:tab w:val="left" w:pos="1134" w:leader="none"/>
          <w:tab w:val="left" w:pos="1418" w:leader="none"/>
        </w:tabs>
        <w:ind w:left="0" w:firstLine="709"/>
        <w:jc w:val="both"/>
        <w:rPr>
          <w:highlight w:val="none"/>
          <w:shd w:fill="auto" w:val="clear"/>
        </w:rPr>
      </w:pPr>
      <w:r>
        <w:rPr>
          <w:shd w:fill="auto" w:val="clea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3"/>
        </w:numPr>
        <w:shd w:val="clear" w:color="auto" w:fill="FFFFFF"/>
        <w:tabs>
          <w:tab w:val="clear" w:pos="709"/>
          <w:tab w:val="left" w:pos="1134" w:leader="none"/>
          <w:tab w:val="left" w:pos="1418" w:leader="none"/>
        </w:tabs>
        <w:ind w:left="0" w:firstLine="709"/>
        <w:jc w:val="both"/>
        <w:rPr>
          <w:highlight w:val="none"/>
          <w:shd w:fill="auto" w:val="clear"/>
        </w:rPr>
      </w:pPr>
      <w:r>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ListParagraph"/>
        <w:numPr>
          <w:ilvl w:val="0"/>
          <w:numId w:val="0"/>
        </w:numPr>
        <w:shd w:val="clear" w:color="auto" w:fill="FFFFFF"/>
        <w:tabs>
          <w:tab w:val="clear" w:pos="709"/>
          <w:tab w:val="left" w:pos="1134" w:leader="none"/>
          <w:tab w:val="left" w:pos="1418" w:leader="none"/>
        </w:tabs>
        <w:ind w:left="0" w:hanging="0"/>
        <w:jc w:val="both"/>
        <w:rPr>
          <w:highlight w:val="none"/>
          <w:shd w:fill="auto" w:val="clear"/>
        </w:rPr>
      </w:pPr>
      <w:r>
        <w:rPr/>
        <w:t xml:space="preserve">          </w:t>
      </w:r>
      <w: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shd w:val="clear" w:color="auto" w:fill="FFFFFF"/>
        <w:ind w:left="0" w:firstLine="567"/>
        <w:rPr>
          <w:bCs/>
          <w:highlight w:val="none"/>
          <w:shd w:fill="auto" w:val="clear"/>
        </w:rPr>
      </w:pPr>
      <w:r>
        <w:rPr>
          <w:bCs/>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Список приложений</w:t>
      </w:r>
    </w:p>
    <w:p>
      <w:pPr>
        <w:pStyle w:val="ListParagraph"/>
        <w:shd w:val="clear" w:color="auto" w:fill="FFFFFF"/>
        <w:ind w:left="0" w:hanging="0"/>
        <w:jc w:val="both"/>
        <w:rPr>
          <w:highlight w:val="none"/>
          <w:shd w:fill="auto" w:val="clear"/>
        </w:rPr>
      </w:pPr>
      <w:r>
        <w:rPr>
          <w:shd w:fill="auto" w:val="clear"/>
        </w:rPr>
        <w:t xml:space="preserve">Приложение № </w:t>
      </w:r>
      <w:r>
        <w:rPr>
          <w:bCs/>
          <w:shd w:fill="auto" w:val="clear"/>
        </w:rPr>
        <w:t>1 – Техническое задание;</w:t>
      </w:r>
    </w:p>
    <w:p>
      <w:pPr>
        <w:pStyle w:val="ListParagraph"/>
        <w:shd w:val="clear" w:color="auto" w:fill="FFFFFF"/>
        <w:ind w:left="0" w:hanging="0"/>
        <w:jc w:val="both"/>
        <w:rPr>
          <w:highlight w:val="none"/>
          <w:shd w:fill="auto" w:val="clear"/>
        </w:rPr>
      </w:pPr>
      <w:r>
        <w:rPr>
          <w:bCs/>
          <w:shd w:fill="auto" w:val="clear"/>
        </w:rPr>
        <w:t>Приложение № 1.1 – Ведомость объёма работ;</w:t>
      </w:r>
    </w:p>
    <w:p>
      <w:pPr>
        <w:pStyle w:val="ListParagraph"/>
        <w:shd w:val="clear" w:color="auto" w:fill="FFFFFF"/>
        <w:ind w:left="0" w:hanging="0"/>
        <w:jc w:val="both"/>
        <w:rPr>
          <w:highlight w:val="none"/>
          <w:shd w:fill="auto" w:val="clear"/>
        </w:rPr>
      </w:pPr>
      <w:r>
        <w:rPr>
          <w:bCs/>
          <w:shd w:fill="auto" w:val="clear"/>
        </w:rPr>
        <w:t>Приложение № 1.2. - Ведомость материалов заказчика;</w:t>
      </w:r>
    </w:p>
    <w:p>
      <w:pPr>
        <w:pStyle w:val="ListParagraph"/>
        <w:shd w:val="clear" w:color="auto" w:fill="FFFFFF"/>
        <w:ind w:left="0" w:hanging="0"/>
        <w:jc w:val="both"/>
        <w:rPr>
          <w:highlight w:val="none"/>
          <w:shd w:fill="auto" w:val="clear"/>
        </w:rPr>
      </w:pPr>
      <w:r>
        <w:rPr>
          <w:bCs/>
          <w:shd w:fill="auto" w:val="clear"/>
        </w:rPr>
        <w:t>Приложение № 1.3. - Ведомость материалов подрядчика;</w:t>
      </w:r>
    </w:p>
    <w:p>
      <w:pPr>
        <w:pStyle w:val="ListParagraph"/>
        <w:shd w:val="clear" w:color="auto" w:fill="FFFFFF"/>
        <w:ind w:left="0" w:hanging="0"/>
        <w:jc w:val="both"/>
        <w:rPr>
          <w:highlight w:val="none"/>
          <w:shd w:fill="auto" w:val="clear"/>
        </w:rPr>
      </w:pPr>
      <w:r>
        <w:rPr>
          <w:bCs/>
          <w:shd w:fill="auto" w:val="clear"/>
        </w:rPr>
        <w:t>Приложение №2 – Сводный сметный расчет с приложениями;</w:t>
      </w:r>
    </w:p>
    <w:p>
      <w:pPr>
        <w:pStyle w:val="ListParagraph"/>
        <w:shd w:val="clear" w:color="auto" w:fill="FFFFFF"/>
        <w:ind w:left="0" w:hanging="0"/>
        <w:jc w:val="both"/>
        <w:rPr>
          <w:highlight w:val="none"/>
          <w:shd w:fill="auto" w:val="clear"/>
        </w:rPr>
      </w:pPr>
      <w:r>
        <w:rPr>
          <w:bCs/>
          <w:shd w:fill="auto" w:val="clear"/>
        </w:rPr>
        <w:t>Приложение № 3 – График выполнения и финансирования работ</w:t>
      </w:r>
    </w:p>
    <w:p>
      <w:pPr>
        <w:pStyle w:val="ListParagraph"/>
        <w:shd w:val="clear" w:color="auto" w:fill="FFFFFF"/>
        <w:ind w:left="0" w:hanging="0"/>
        <w:jc w:val="both"/>
        <w:rPr>
          <w:highlight w:val="none"/>
          <w:shd w:fill="auto" w:val="clear"/>
        </w:rPr>
      </w:pPr>
      <w:r>
        <w:rPr>
          <w:bCs/>
          <w:shd w:fill="auto" w:val="clear"/>
        </w:rPr>
        <w:t>Приложение № 4.1 – Форма Акта сдачи-приемки места производства работ;</w:t>
      </w:r>
    </w:p>
    <w:p>
      <w:pPr>
        <w:pStyle w:val="ListParagraph"/>
        <w:shd w:val="clear" w:color="auto" w:fill="FFFFFF"/>
        <w:ind w:left="0" w:hanging="0"/>
        <w:jc w:val="both"/>
        <w:rPr>
          <w:highlight w:val="none"/>
          <w:shd w:fill="auto" w:val="clear"/>
        </w:rPr>
      </w:pPr>
      <w:r>
        <w:rPr>
          <w:bCs/>
          <w:shd w:fill="auto" w:val="clear"/>
        </w:rPr>
        <w:t>Приложение № 4.2 – Форма Акта сдачи-приемки технической и иной Документации;</w:t>
      </w:r>
    </w:p>
    <w:p>
      <w:pPr>
        <w:pStyle w:val="ListParagraph"/>
        <w:shd w:val="clear" w:color="auto" w:fill="FFFFFF"/>
        <w:ind w:left="0" w:hanging="0"/>
        <w:jc w:val="both"/>
        <w:rPr>
          <w:highlight w:val="none"/>
          <w:shd w:fill="auto" w:val="clear"/>
        </w:rPr>
      </w:pPr>
      <w:r>
        <w:rPr>
          <w:bCs/>
          <w:shd w:fill="auto" w:val="clear"/>
        </w:rPr>
        <w:t>Приложение № 5  – Перечень допусков, разрешений и лицензий Подрядчика;</w:t>
      </w:r>
    </w:p>
    <w:p>
      <w:pPr>
        <w:pStyle w:val="ListParagraph"/>
        <w:shd w:val="clear" w:color="auto" w:fill="FFFFFF"/>
        <w:ind w:left="0" w:hanging="0"/>
        <w:jc w:val="both"/>
        <w:rPr>
          <w:highlight w:val="none"/>
          <w:shd w:fill="auto" w:val="clear"/>
        </w:rPr>
      </w:pPr>
      <w:r>
        <w:rPr>
          <w:bCs/>
          <w:shd w:fill="auto" w:val="clear"/>
        </w:rPr>
        <w:t>Приложение № 6 – Порядок передачи и учета Давальческих материалов и запасных частей;</w:t>
      </w:r>
    </w:p>
    <w:p>
      <w:pPr>
        <w:pStyle w:val="ListParagraph"/>
        <w:shd w:val="clear" w:color="auto" w:fill="FFFFFF"/>
        <w:ind w:left="0" w:hanging="0"/>
        <w:jc w:val="both"/>
        <w:rPr>
          <w:highlight w:val="none"/>
          <w:shd w:fill="auto" w:val="clear"/>
        </w:rPr>
      </w:pPr>
      <w:r>
        <w:rPr>
          <w:bCs/>
          <w:shd w:fill="auto" w:val="clear"/>
        </w:rPr>
        <w:t>Приложение № 7 - Форма Акта освидетельствования выполненных работ;</w:t>
      </w:r>
    </w:p>
    <w:p>
      <w:pPr>
        <w:pStyle w:val="ListParagraph"/>
        <w:shd w:val="clear" w:color="auto" w:fill="FFFFFF"/>
        <w:ind w:left="0" w:hanging="0"/>
        <w:jc w:val="both"/>
        <w:rPr>
          <w:highlight w:val="none"/>
          <w:shd w:fill="auto" w:val="clear"/>
        </w:rPr>
      </w:pPr>
      <w:r>
        <w:rPr>
          <w:bCs/>
          <w:shd w:fill="auto" w:val="clear"/>
        </w:rPr>
        <w:t>Приложение № 8 – Критерии Банков-Гарантов;</w:t>
      </w:r>
    </w:p>
    <w:p>
      <w:pPr>
        <w:pStyle w:val="ListParagraph"/>
        <w:shd w:val="clear" w:color="auto" w:fill="FFFFFF"/>
        <w:ind w:left="0" w:hanging="0"/>
        <w:jc w:val="both"/>
        <w:rPr>
          <w:highlight w:val="none"/>
          <w:shd w:fill="auto" w:val="clear"/>
        </w:rPr>
      </w:pPr>
      <w:r>
        <w:rPr>
          <w:bCs/>
          <w:shd w:fill="auto" w:val="clear"/>
        </w:rPr>
        <w:t>Приложение № 9 – Перечень исполнительной документации;</w:t>
      </w:r>
    </w:p>
    <w:p>
      <w:pPr>
        <w:pStyle w:val="ListParagraph"/>
        <w:shd w:val="clear" w:color="auto" w:fill="FFFFFF"/>
        <w:ind w:left="0" w:hanging="0"/>
        <w:jc w:val="both"/>
        <w:rPr>
          <w:highlight w:val="none"/>
          <w:shd w:fill="auto" w:val="clear"/>
        </w:rPr>
      </w:pPr>
      <w:r>
        <w:rPr>
          <w:bCs/>
          <w:shd w:fill="auto" w:val="clear"/>
        </w:rPr>
        <w:t>Приложение № 10 - Размер ответственности Подрядчика за нарушения пропускного и внутриобъектного режима;</w:t>
      </w:r>
    </w:p>
    <w:p>
      <w:pPr>
        <w:pStyle w:val="ListParagraph"/>
        <w:shd w:val="clear" w:color="auto" w:fill="FFFFFF"/>
        <w:tabs>
          <w:tab w:val="clear" w:pos="709"/>
          <w:tab w:val="left" w:pos="2127" w:leader="none"/>
        </w:tabs>
        <w:spacing w:lineRule="auto" w:line="264" w:before="0" w:after="0"/>
        <w:ind w:left="-142" w:hanging="0"/>
        <w:contextualSpacing/>
        <w:jc w:val="both"/>
        <w:rPr>
          <w:highlight w:val="none"/>
          <w:shd w:fill="auto" w:val="clear"/>
        </w:rPr>
      </w:pPr>
      <w:r>
        <w:rPr>
          <w:bCs/>
          <w:shd w:fill="auto" w:val="clear"/>
        </w:rPr>
        <w:t xml:space="preserve">  </w:t>
      </w:r>
      <w:r>
        <w:rPr>
          <w:bCs/>
          <w:shd w:fill="auto" w:val="clear"/>
        </w:rPr>
        <w:t>Приложение № 11.1 –  Форма Акта КС-2;</w:t>
      </w:r>
    </w:p>
    <w:p>
      <w:pPr>
        <w:pStyle w:val="ListParagraph"/>
        <w:shd w:val="clear" w:color="auto" w:fill="FFFFFF"/>
        <w:tabs>
          <w:tab w:val="clear" w:pos="709"/>
          <w:tab w:val="left" w:pos="2127" w:leader="none"/>
        </w:tabs>
        <w:spacing w:lineRule="auto" w:line="264" w:before="0" w:after="0"/>
        <w:ind w:left="-142" w:hanging="0"/>
        <w:contextualSpacing/>
        <w:jc w:val="both"/>
        <w:rPr>
          <w:highlight w:val="none"/>
          <w:shd w:fill="auto" w:val="clear"/>
        </w:rPr>
      </w:pPr>
      <w:r>
        <w:rPr>
          <w:bCs/>
          <w:shd w:fill="auto" w:val="clear"/>
        </w:rPr>
        <w:t xml:space="preserve">  </w:t>
      </w:r>
      <w:r>
        <w:rPr>
          <w:bCs/>
          <w:shd w:fill="auto" w:val="clear"/>
        </w:rPr>
        <w:t>Приложение № 11.2 – Форма Справки КС-3;</w:t>
      </w:r>
    </w:p>
    <w:p>
      <w:pPr>
        <w:pStyle w:val="ListParagraph"/>
        <w:shd w:val="clear" w:color="auto" w:fill="FFFFFF"/>
        <w:tabs>
          <w:tab w:val="clear" w:pos="709"/>
          <w:tab w:val="left" w:pos="2127" w:leader="none"/>
        </w:tabs>
        <w:spacing w:lineRule="auto" w:line="264" w:before="0" w:after="0"/>
        <w:ind w:left="-142" w:hanging="0"/>
        <w:contextualSpacing/>
        <w:jc w:val="both"/>
        <w:rPr>
          <w:highlight w:val="none"/>
          <w:shd w:fill="auto" w:val="clear"/>
        </w:rPr>
      </w:pPr>
      <w:r>
        <w:rPr>
          <w:bCs/>
          <w:shd w:fill="auto" w:val="clear"/>
        </w:rPr>
        <w:t xml:space="preserve">  </w:t>
      </w:r>
      <w:r>
        <w:rPr>
          <w:bCs/>
          <w:shd w:fill="auto" w:val="clear"/>
        </w:rPr>
        <w:t>Приложение № 12 - Форма отчета о расходе основных материалов М-29;</w:t>
      </w:r>
    </w:p>
    <w:p>
      <w:pPr>
        <w:pStyle w:val="ListParagraph"/>
        <w:shd w:val="clear" w:color="auto" w:fill="FFFFFF"/>
        <w:tabs>
          <w:tab w:val="clear" w:pos="709"/>
          <w:tab w:val="left" w:pos="2127" w:leader="none"/>
        </w:tabs>
        <w:spacing w:lineRule="auto" w:line="264" w:before="0" w:after="0"/>
        <w:ind w:left="-142" w:hanging="0"/>
        <w:contextualSpacing/>
        <w:jc w:val="both"/>
        <w:rPr>
          <w:highlight w:val="none"/>
          <w:shd w:fill="auto" w:val="clear"/>
        </w:rPr>
      </w:pPr>
      <w:r>
        <w:rPr>
          <w:bCs/>
          <w:shd w:fill="auto" w:val="clear"/>
        </w:rPr>
        <w:t xml:space="preserve"> </w:t>
      </w:r>
      <w:r>
        <w:rPr>
          <w:bCs/>
          <w:shd w:fill="auto" w:val="clear"/>
        </w:rPr>
        <w:t>Приложение № 13 - Форма акта о оприходовании материальных ценностей, полученных при    разборке и демонтаже_М-35;</w:t>
      </w:r>
    </w:p>
    <w:p>
      <w:pPr>
        <w:pStyle w:val="ListParagraph"/>
        <w:shd w:val="clear" w:color="auto" w:fill="FFFFFF"/>
        <w:tabs>
          <w:tab w:val="clear" w:pos="709"/>
          <w:tab w:val="left" w:pos="2127" w:leader="none"/>
        </w:tabs>
        <w:spacing w:lineRule="auto" w:line="264" w:before="0" w:after="0"/>
        <w:ind w:left="-142" w:hanging="0"/>
        <w:contextualSpacing/>
        <w:jc w:val="both"/>
        <w:rPr>
          <w:highlight w:val="none"/>
          <w:shd w:fill="auto" w:val="clear"/>
        </w:rPr>
      </w:pPr>
      <w:r>
        <w:rPr>
          <w:bCs/>
          <w:shd w:fill="auto" w:val="clear"/>
        </w:rPr>
        <w:t xml:space="preserve"> </w:t>
      </w:r>
      <w:r>
        <w:rPr>
          <w:bCs/>
          <w:shd w:fill="auto" w:val="clear"/>
        </w:rPr>
        <w:t>Приложение № 14 - Форма накладной на отпуск материалов на сторону М-15</w:t>
      </w:r>
    </w:p>
    <w:p>
      <w:pPr>
        <w:pStyle w:val="ListParagraph"/>
        <w:shd w:val="clear" w:color="auto" w:fill="FFFFFF"/>
        <w:ind w:left="0" w:hanging="0"/>
        <w:jc w:val="both"/>
        <w:rPr>
          <w:highlight w:val="none"/>
          <w:shd w:fill="auto" w:val="clear"/>
        </w:rPr>
      </w:pPr>
      <w:r>
        <w:rPr>
          <w:shd w:fill="auto" w:val="clear"/>
        </w:rPr>
      </w:r>
    </w:p>
    <w:p>
      <w:pPr>
        <w:pStyle w:val="ListParagraph"/>
        <w:shd w:val="clear" w:color="auto" w:fill="FFFFFF"/>
        <w:ind w:left="0" w:hanging="0"/>
        <w:jc w:val="both"/>
        <w:rPr>
          <w:highlight w:val="none"/>
          <w:shd w:fill="auto" w:val="clear"/>
        </w:rPr>
      </w:pPr>
      <w:r>
        <w:rPr>
          <w:shd w:fill="auto" w:val="clear"/>
        </w:rPr>
      </w:r>
    </w:p>
    <w:p>
      <w:pPr>
        <w:pStyle w:val="ListParagraph"/>
        <w:numPr>
          <w:ilvl w:val="0"/>
          <w:numId w:val="3"/>
        </w:numPr>
        <w:shd w:val="clear" w:color="auto" w:fill="FFFFFF"/>
        <w:tabs>
          <w:tab w:val="clear" w:pos="709"/>
          <w:tab w:val="left" w:pos="426" w:leader="none"/>
        </w:tabs>
        <w:ind w:left="0" w:hanging="0"/>
        <w:jc w:val="center"/>
        <w:rPr>
          <w:highlight w:val="none"/>
          <w:shd w:fill="auto" w:val="clear"/>
        </w:rPr>
      </w:pPr>
      <w:r>
        <w:rPr>
          <w:b/>
          <w:bCs/>
          <w:shd w:fill="auto" w:val="clear"/>
        </w:rPr>
        <w:t>Адреса и платежные реквизиты Сторон</w:t>
      </w:r>
    </w:p>
    <w:p>
      <w:pPr>
        <w:pStyle w:val="ListParagraph"/>
        <w:shd w:val="clear" w:color="auto" w:fill="FFFFFF"/>
        <w:tabs>
          <w:tab w:val="clear" w:pos="709"/>
          <w:tab w:val="left" w:pos="426" w:leader="none"/>
        </w:tabs>
        <w:ind w:left="0" w:hanging="0"/>
        <w:rPr>
          <w:b/>
          <w:bCs/>
          <w:highlight w:val="none"/>
          <w:shd w:fill="auto" w:val="clear"/>
        </w:rPr>
      </w:pPr>
      <w:r>
        <w:rPr>
          <w:b/>
          <w:bCs/>
          <w:shd w:fill="auto" w:val="clear"/>
        </w:rPr>
      </w:r>
    </w:p>
    <w:tbl>
      <w:tblPr>
        <w:tblW w:w="989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65"/>
        <w:gridCol w:w="163"/>
        <w:gridCol w:w="4622"/>
        <w:gridCol w:w="340"/>
      </w:tblGrid>
      <w:tr>
        <w:trPr/>
        <w:tc>
          <w:tcPr>
            <w:tcW w:w="4928" w:type="dxa"/>
            <w:gridSpan w:val="2"/>
            <w:tcBorders/>
          </w:tcPr>
          <w:p>
            <w:pPr>
              <w:pStyle w:val="Normal"/>
              <w:widowControl w:val="false"/>
              <w:spacing w:lineRule="auto" w:line="240"/>
              <w:ind w:hanging="0"/>
              <w:rPr>
                <w:highlight w:val="none"/>
                <w:shd w:fill="auto" w:val="clear"/>
              </w:rPr>
            </w:pPr>
            <w:r>
              <w:rPr>
                <w:sz w:val="24"/>
                <w:szCs w:val="24"/>
                <w:shd w:fill="auto" w:val="clear"/>
              </w:rPr>
              <w:t>ЗАКАЗЧИК:</w:t>
            </w:r>
          </w:p>
        </w:tc>
        <w:tc>
          <w:tcPr>
            <w:tcW w:w="4962" w:type="dxa"/>
            <w:gridSpan w:val="2"/>
            <w:tcBorders/>
          </w:tcPr>
          <w:p>
            <w:pPr>
              <w:pStyle w:val="Normal"/>
              <w:widowControl w:val="false"/>
              <w:spacing w:lineRule="auto" w:line="240"/>
              <w:ind w:hanging="0"/>
              <w:rPr>
                <w:highlight w:val="none"/>
                <w:shd w:fill="auto" w:val="clear"/>
              </w:rPr>
            </w:pPr>
            <w:r>
              <w:rPr>
                <w:sz w:val="24"/>
                <w:szCs w:val="24"/>
                <w:shd w:fill="auto" w:val="clear"/>
              </w:rPr>
              <w:t>ПОДРЯДЧИК:</w:t>
            </w:r>
          </w:p>
        </w:tc>
      </w:tr>
      <w:tr>
        <w:trPr/>
        <w:tc>
          <w:tcPr>
            <w:tcW w:w="4928" w:type="dxa"/>
            <w:gridSpan w:val="2"/>
            <w:tcBorders/>
            <w:shd w:color="auto" w:fill="BFBFBF" w:themeFill="background1" w:themeFillShade="bf" w:val="clear"/>
          </w:tcPr>
          <w:p>
            <w:pPr>
              <w:pStyle w:val="Normal"/>
              <w:widowControl w:val="false"/>
              <w:spacing w:lineRule="auto" w:line="240"/>
              <w:ind w:hanging="0"/>
              <w:jc w:val="left"/>
              <w:rPr>
                <w:highlight w:val="none"/>
                <w:shd w:fill="auto" w:val="clear"/>
              </w:rPr>
            </w:pPr>
            <w:r>
              <w:rPr>
                <w:b/>
                <w:sz w:val="24"/>
                <w:szCs w:val="24"/>
                <w:shd w:fill="auto" w:val="clear"/>
              </w:rPr>
              <w:t>АО «ДГК»</w:t>
            </w:r>
          </w:p>
          <w:p>
            <w:pPr>
              <w:pStyle w:val="Normal"/>
              <w:widowControl w:val="false"/>
              <w:spacing w:lineRule="auto" w:line="240"/>
              <w:ind w:hanging="0"/>
              <w:jc w:val="left"/>
              <w:rPr>
                <w:highlight w:val="none"/>
                <w:shd w:fill="auto" w:val="clear"/>
              </w:rPr>
            </w:pPr>
            <w:r>
              <w:rPr>
                <w:sz w:val="24"/>
                <w:szCs w:val="24"/>
                <w:shd w:fill="auto" w:val="clear"/>
              </w:rPr>
              <w:t>Место нахождения:</w:t>
            </w:r>
          </w:p>
          <w:p>
            <w:pPr>
              <w:pStyle w:val="Normal"/>
              <w:widowControl w:val="false"/>
              <w:spacing w:lineRule="auto" w:line="240"/>
              <w:ind w:hanging="0"/>
              <w:jc w:val="left"/>
              <w:rPr>
                <w:highlight w:val="none"/>
                <w:shd w:fill="auto" w:val="clear"/>
              </w:rPr>
            </w:pPr>
            <w:r>
              <w:rPr>
                <w:sz w:val="24"/>
                <w:szCs w:val="24"/>
                <w:shd w:fill="auto" w:val="clear"/>
              </w:rPr>
              <w:t xml:space="preserve">Российская Федерация, г. Хабаровск </w:t>
            </w:r>
          </w:p>
          <w:p>
            <w:pPr>
              <w:pStyle w:val="Normal"/>
              <w:widowControl w:val="false"/>
              <w:spacing w:lineRule="auto" w:line="240"/>
              <w:ind w:hanging="0"/>
              <w:jc w:val="left"/>
              <w:rPr>
                <w:highlight w:val="none"/>
                <w:shd w:fill="auto" w:val="clear"/>
              </w:rPr>
            </w:pPr>
            <w:r>
              <w:rPr>
                <w:sz w:val="24"/>
                <w:szCs w:val="24"/>
                <w:shd w:fill="auto" w:val="clear"/>
              </w:rPr>
              <w:t>Адрес: 680000, Хабаровский край,</w:t>
            </w:r>
          </w:p>
          <w:p>
            <w:pPr>
              <w:pStyle w:val="Normal"/>
              <w:widowControl w:val="false"/>
              <w:spacing w:lineRule="auto" w:line="240"/>
              <w:ind w:hanging="0"/>
              <w:jc w:val="left"/>
              <w:rPr>
                <w:highlight w:val="none"/>
                <w:shd w:fill="auto" w:val="clear"/>
              </w:rPr>
            </w:pPr>
            <w:r>
              <w:rPr>
                <w:sz w:val="24"/>
                <w:szCs w:val="24"/>
                <w:shd w:fill="auto" w:val="clear"/>
              </w:rPr>
              <w:t>г. Хабаровск, ул. Фрунзе, д.49</w:t>
            </w:r>
          </w:p>
          <w:p>
            <w:pPr>
              <w:pStyle w:val="Normal"/>
              <w:widowControl w:val="false"/>
              <w:spacing w:lineRule="auto" w:line="240"/>
              <w:ind w:hanging="0"/>
              <w:jc w:val="left"/>
              <w:rPr>
                <w:highlight w:val="none"/>
                <w:shd w:fill="auto" w:val="clear"/>
              </w:rPr>
            </w:pPr>
            <w:r>
              <w:rPr>
                <w:sz w:val="24"/>
                <w:szCs w:val="24"/>
                <w:shd w:fill="auto" w:val="clear"/>
              </w:rPr>
              <w:t xml:space="preserve">ОГРН 1051401746769, </w:t>
            </w:r>
          </w:p>
          <w:p>
            <w:pPr>
              <w:pStyle w:val="Normal"/>
              <w:widowControl w:val="false"/>
              <w:spacing w:lineRule="auto" w:line="240"/>
              <w:ind w:hanging="0"/>
              <w:jc w:val="left"/>
              <w:rPr>
                <w:highlight w:val="none"/>
                <w:shd w:fill="auto" w:val="clear"/>
              </w:rPr>
            </w:pPr>
            <w:r>
              <w:rPr>
                <w:sz w:val="24"/>
                <w:szCs w:val="24"/>
                <w:shd w:fill="auto" w:val="clear"/>
              </w:rPr>
              <w:t>ИНН 1434031363 / КПП 272101001</w:t>
            </w:r>
          </w:p>
          <w:p>
            <w:pPr>
              <w:pStyle w:val="Normal"/>
              <w:widowControl w:val="false"/>
              <w:spacing w:lineRule="auto" w:line="240"/>
              <w:ind w:hanging="0"/>
              <w:jc w:val="left"/>
              <w:rPr>
                <w:highlight w:val="none"/>
                <w:shd w:fill="auto" w:val="clear"/>
              </w:rPr>
            </w:pPr>
            <w:r>
              <w:rPr>
                <w:sz w:val="24"/>
                <w:szCs w:val="24"/>
                <w:shd w:fill="auto" w:val="clear"/>
              </w:rPr>
              <w:t>КПП КН 997650001</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(номер расчетного счета)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(наименование банка, в котором</w:t>
            </w:r>
          </w:p>
          <w:p>
            <w:pPr>
              <w:pStyle w:val="Normal"/>
              <w:widowControl w:val="false"/>
              <w:spacing w:lineRule="auto" w:line="240"/>
              <w:ind w:hanging="0"/>
              <w:jc w:val="left"/>
              <w:rPr>
                <w:highlight w:val="none"/>
                <w:shd w:fill="auto" w:val="clear"/>
              </w:rPr>
            </w:pPr>
            <w:r>
              <w:rPr>
                <w:sz w:val="24"/>
                <w:szCs w:val="24"/>
                <w:shd w:fill="auto" w:val="clear"/>
              </w:rPr>
              <w:t>открыт расчетный счет)</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(номер корреспондентского счета банка)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(БИК банка)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(номер телефона)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(адрес эл/почты)</w:t>
            </w:r>
          </w:p>
          <w:p>
            <w:pPr>
              <w:pStyle w:val="Normal"/>
              <w:widowControl w:val="false"/>
              <w:spacing w:lineRule="auto" w:line="240"/>
              <w:ind w:hanging="0"/>
              <w:jc w:val="left"/>
              <w:rPr>
                <w:highlight w:val="none"/>
                <w:shd w:fill="auto" w:val="clear"/>
              </w:rPr>
            </w:pPr>
            <w:r>
              <w:rPr>
                <w:sz w:val="24"/>
                <w:szCs w:val="24"/>
                <w:shd w:fill="auto" w:val="clear"/>
              </w:rPr>
              <w:t>Адрес для корреспонденции:</w:t>
            </w:r>
          </w:p>
          <w:p>
            <w:pPr>
              <w:pStyle w:val="Normal"/>
              <w:widowControl w:val="false"/>
              <w:spacing w:lineRule="auto" w:line="240"/>
              <w:ind w:hanging="0"/>
              <w:jc w:val="left"/>
              <w:rPr>
                <w:highlight w:val="none"/>
                <w:shd w:fill="auto" w:val="clear"/>
              </w:rPr>
            </w:pPr>
            <w:r>
              <w:rPr>
                <w:sz w:val="24"/>
                <w:szCs w:val="24"/>
                <w:shd w:fill="auto" w:val="clear"/>
              </w:rPr>
              <w:t>(указать адрес СП)_________________</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962" w:type="dxa"/>
            <w:gridSpan w:val="2"/>
            <w:tcBorders/>
            <w:shd w:color="auto" w:fill="BFBFBF" w:themeFill="background1" w:themeFillShade="bf" w:val="clear"/>
          </w:tcPr>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(сокращенное наименование юр/лица)</w:t>
            </w:r>
          </w:p>
          <w:p>
            <w:pPr>
              <w:pStyle w:val="Normal"/>
              <w:widowControl w:val="false"/>
              <w:spacing w:lineRule="auto" w:line="240"/>
              <w:ind w:hanging="0"/>
              <w:rPr>
                <w:highlight w:val="none"/>
                <w:shd w:fill="auto" w:val="clear"/>
              </w:rPr>
            </w:pPr>
            <w:r>
              <w:rPr>
                <w:sz w:val="24"/>
                <w:szCs w:val="24"/>
                <w:shd w:fill="auto" w:val="clear"/>
              </w:rPr>
              <w:t>Место нахождения:</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Адрес:</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ОГРН ___________________________</w:t>
            </w:r>
          </w:p>
          <w:p>
            <w:pPr>
              <w:pStyle w:val="Normal"/>
              <w:widowControl w:val="false"/>
              <w:spacing w:lineRule="auto" w:line="240"/>
              <w:ind w:hanging="0"/>
              <w:rPr>
                <w:highlight w:val="none"/>
                <w:shd w:fill="auto" w:val="clear"/>
              </w:rPr>
            </w:pPr>
            <w:r>
              <w:rPr>
                <w:sz w:val="24"/>
                <w:szCs w:val="24"/>
                <w:shd w:fill="auto" w:val="clear"/>
              </w:rPr>
              <w:t>ИНН ____________ / КПП___________</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расчетного счета)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(наименование банка, в котором</w:t>
            </w:r>
          </w:p>
          <w:p>
            <w:pPr>
              <w:pStyle w:val="Normal"/>
              <w:widowControl w:val="false"/>
              <w:spacing w:lineRule="auto" w:line="240"/>
              <w:ind w:hanging="0"/>
              <w:rPr>
                <w:highlight w:val="none"/>
                <w:shd w:fill="auto" w:val="clear"/>
              </w:rPr>
            </w:pPr>
            <w:r>
              <w:rPr>
                <w:sz w:val="24"/>
                <w:szCs w:val="24"/>
                <w:shd w:fill="auto" w:val="clear"/>
              </w:rPr>
              <w:t>открыт расчетный счет)</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корреспондентского счета банка)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(БИК банка)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телефона)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эл/почты)</w:t>
            </w:r>
          </w:p>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4765" w:type="dxa"/>
            <w:tcBorders/>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785" w:type="dxa"/>
            <w:gridSpan w:val="2"/>
            <w:tcBorders/>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340" w:type="dxa"/>
            <w:tcBorders/>
          </w:tcPr>
          <w:p>
            <w:pPr>
              <w:pStyle w:val="Normal"/>
              <w:widowControl w:val="false"/>
              <w:rPr>
                <w:highlight w:val="none"/>
                <w:shd w:fill="auto" w:val="clear"/>
              </w:rPr>
            </w:pPr>
            <w:r>
              <w:rPr>
                <w:shd w:fill="auto" w:val="clear"/>
              </w:rPr>
            </w:r>
          </w:p>
        </w:tc>
      </w:tr>
    </w:tbl>
    <w:p>
      <w:pPr>
        <w:pStyle w:val="Normal"/>
        <w:spacing w:lineRule="auto" w:line="240"/>
        <w:ind w:left="0" w:hanging="0"/>
        <w:rPr>
          <w:highlight w:val="none"/>
          <w:shd w:fill="auto" w:val="clear"/>
        </w:rPr>
      </w:pPr>
      <w:r>
        <w:rPr/>
      </w:r>
    </w:p>
    <w:sectPr>
      <w:headerReference w:type="default" r:id="rId6"/>
      <w:footerReference w:type="default" r:id="rId7"/>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Calibri">
    <w:charset w:val="01"/>
    <w:family w:val="roman"/>
    <w:pitch w:val="variable"/>
  </w:font>
  <w:font w:name="Liberation Sans">
    <w:altName w:val="Arial"/>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11</w:t>
    </w:r>
    <w:r>
      <w:rPr>
        <w:sz w:val="24"/>
        <w:szCs w:val="24"/>
      </w:rPr>
      <w:fldChar w:fldCharType="end"/>
    </w:r>
  </w:p>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
        </w:rPr>
        <w:footnoteRef/>
      </w:r>
      <w:r>
        <w:rPr/>
        <w:t xml:space="preserve"> </w:t>
      </w:r>
      <w:r>
        <w:rPr/>
        <w:t>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pPr>
        <w:pStyle w:val="FootnoteText"/>
        <w:rPr/>
      </w:pPr>
      <w:r>
        <w:rPr>
          <w:rStyle w:val="Style"/>
        </w:rPr>
        <w:footnoteRef/>
      </w:r>
      <w:r>
        <w:rPr/>
        <w:t xml:space="preserve"> </w:t>
      </w:r>
      <w:r>
        <w:rPr/>
        <w:t>В случае непредставления Банковской гарантии надлежащего исполнения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u w:val="none"/>
        <w:b w:val="false"/>
        <w:highlight w:val="white"/>
      </w:rPr>
    </w:lvl>
    <w:lvl w:ilvl="2">
      <w:start w:val="1"/>
      <w:numFmt w:val="decimal"/>
      <w:lvlText w:val="%1.%2.%3."/>
      <w:lvlJc w:val="left"/>
      <w:pPr>
        <w:tabs>
          <w:tab w:val="num" w:pos="0"/>
        </w:tabs>
        <w:ind w:left="3907" w:hanging="504"/>
      </w:pPr>
      <w:rPr>
        <w:sz w:val="24"/>
        <w:b w:val="false"/>
        <w:szCs w:val="24"/>
        <w:highlight w:val="white"/>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7">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3"/>
      <w:numFmt w:val="decimal"/>
      <w:lvlText w:val="%1."/>
      <w:lvlJc w:val="left"/>
      <w:pPr>
        <w:tabs>
          <w:tab w:val="num" w:pos="0"/>
        </w:tabs>
        <w:ind w:left="360" w:hanging="360"/>
      </w:pPr>
      <w:rPr/>
    </w:lvl>
    <w:lvl w:ilvl="1">
      <w:start w:val="5"/>
      <w:numFmt w:val="decimal"/>
      <w:lvlText w:val="%1.%2."/>
      <w:lvlJc w:val="left"/>
      <w:pPr>
        <w:tabs>
          <w:tab w:val="num" w:pos="0"/>
        </w:tabs>
        <w:ind w:left="1069" w:hanging="360"/>
      </w:pPr>
      <w:rPr>
        <w:i w:val="false"/>
        <w:color w:val="auto"/>
      </w:rPr>
    </w:lvl>
    <w:lvl w:ilvl="2">
      <w:start w:val="1"/>
      <w:numFmt w:val="decimal"/>
      <w:lvlText w:val="%1.%2.%3."/>
      <w:lvlJc w:val="left"/>
      <w:pPr>
        <w:tabs>
          <w:tab w:val="num" w:pos="0"/>
        </w:tabs>
        <w:ind w:left="1995"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zoom w:percent="104"/>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Normal"/>
    <w:qFormat/>
    <w:pPr>
      <w:keepNext w:val="true"/>
      <w:spacing w:before="240" w:after="60"/>
      <w:outlineLvl w:val="0"/>
    </w:pPr>
    <w:rPr>
      <w:rFonts w:ascii="Cambria" w:hAnsi="Cambria"/>
      <w:b/>
      <w:bCs/>
      <w:sz w:val="32"/>
      <w:szCs w:val="32"/>
    </w:rPr>
  </w:style>
  <w:style w:type="paragraph" w:styleId="Heading2">
    <w:name w:val="Heading 2"/>
    <w:basedOn w:val="Normal"/>
    <w:qFormat/>
    <w:pPr>
      <w:keepNext w:val="true"/>
      <w:spacing w:before="240" w:after="60"/>
      <w:outlineLvl w:val="1"/>
    </w:pPr>
    <w:rPr>
      <w:rFonts w:ascii="Cambria" w:hAnsi="Cambria"/>
      <w:b/>
      <w:bCs/>
      <w:i/>
      <w:iCs/>
    </w:rPr>
  </w:style>
  <w:style w:type="paragraph" w:styleId="Heading3">
    <w:name w:val="Heading 3"/>
    <w:basedOn w:val="Normal"/>
    <w:uiPriority w:val="9"/>
    <w:qFormat/>
    <w:pPr>
      <w:keepNext w:val="true"/>
      <w:spacing w:lineRule="auto" w:line="240" w:before="120" w:after="120"/>
      <w:ind w:hanging="0"/>
      <w:jc w:val="left"/>
      <w:outlineLvl w:val="2"/>
    </w:pPr>
    <w:rPr>
      <w:b/>
      <w:szCs w:val="20"/>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Style">
    <w:name w:val="Символ сноски"/>
    <w:qFormat/>
    <w:rPr>
      <w:vertAlign w:val="superscript"/>
    </w:rPr>
  </w:style>
  <w:style w:type="character" w:styleId="FootnoteReference">
    <w:name w:val="Footnote Reference"/>
    <w:rPr>
      <w:vertAlign w:val="superscript"/>
    </w:rPr>
  </w:style>
  <w:style w:type="character" w:styleId="3" w:customStyle="1">
    <w:name w:val="Заголовок 3 Знак"/>
    <w:qFormat/>
    <w:rPr>
      <w:b/>
      <w:sz w:val="28"/>
    </w:rPr>
  </w:style>
  <w:style w:type="character" w:styleId="31" w:customStyle="1">
    <w:name w:val="3. Подпункт Знак"/>
    <w:qFormat/>
    <w:rPr>
      <w:b/>
      <w:bCs/>
      <w:sz w:val="24"/>
      <w:szCs w:val="24"/>
    </w:rPr>
  </w:style>
  <w:style w:type="character" w:styleId="Style1" w:customStyle="1">
    <w:name w:val="Текст выноски Знак"/>
    <w:qFormat/>
    <w:rPr>
      <w:rFonts w:ascii="Tahoma" w:hAnsi="Tahoma" w:cs="Tahoma"/>
      <w:sz w:val="16"/>
      <w:szCs w:val="16"/>
    </w:rPr>
  </w:style>
  <w:style w:type="character" w:styleId="1" w:customStyle="1">
    <w:name w:val="1. Статья Знак"/>
    <w:qFormat/>
    <w:rPr>
      <w:sz w:val="24"/>
      <w:szCs w:val="24"/>
    </w:rPr>
  </w:style>
  <w:style w:type="character" w:styleId="4" w:customStyle="1">
    <w:name w:val="4. Отчерк Знак"/>
    <w:qFormat/>
    <w:rPr>
      <w:sz w:val="24"/>
      <w:szCs w:val="24"/>
    </w:rPr>
  </w:style>
  <w:style w:type="character" w:styleId="Annotationreference">
    <w:name w:val="annotation reference"/>
    <w:qFormat/>
    <w:rPr>
      <w:sz w:val="16"/>
      <w:szCs w:val="16"/>
    </w:rPr>
  </w:style>
  <w:style w:type="character" w:styleId="Style2" w:customStyle="1">
    <w:name w:val="Текст примечания Знак"/>
    <w:qFormat/>
    <w:rPr/>
  </w:style>
  <w:style w:type="character" w:styleId="Style3" w:customStyle="1">
    <w:name w:val="Тема примечания Знак"/>
    <w:uiPriority w:val="99"/>
    <w:qFormat/>
    <w:rPr>
      <w:b/>
      <w:bCs/>
    </w:rPr>
  </w:style>
  <w:style w:type="character" w:styleId="Style4" w:customStyle="1">
    <w:name w:val="Нижний колонтитул Знак"/>
    <w:uiPriority w:val="99"/>
    <w:qFormat/>
    <w:rPr>
      <w:sz w:val="28"/>
      <w:szCs w:val="28"/>
    </w:rPr>
  </w:style>
  <w:style w:type="character" w:styleId="32" w:customStyle="1">
    <w:name w:val="Основной текст 3 Знак"/>
    <w:qFormat/>
    <w:rPr>
      <w:color w:val="0000FF"/>
      <w:sz w:val="24"/>
      <w:szCs w:val="24"/>
      <w:lang w:eastAsia="en-US"/>
    </w:rPr>
  </w:style>
  <w:style w:type="character" w:styleId="Style5" w:customStyle="1">
    <w:name w:val="Заголовок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 w:customStyle="1">
    <w:name w:val="Заголовок 2 Знак"/>
    <w:semiHidden/>
    <w:qFormat/>
    <w:rPr>
      <w:rFonts w:ascii="Cambria" w:hAnsi="Cambria" w:eastAsia="Times New Roman" w:cs="Times New Roman"/>
      <w:b/>
      <w:bCs/>
      <w:i/>
      <w:iCs/>
      <w:sz w:val="28"/>
      <w:szCs w:val="28"/>
    </w:rPr>
  </w:style>
  <w:style w:type="character" w:styleId="Style6"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7" w:customStyle="1">
    <w:name w:val="Текст сноски Знак"/>
    <w:qFormat/>
    <w:rPr/>
  </w:style>
  <w:style w:type="character" w:styleId="Hyperlink">
    <w:name w:val="Hyperlink"/>
    <w:uiPriority w:val="99"/>
    <w:unhideWhenUsed/>
    <w:rPr>
      <w:color w:val="0000FF"/>
      <w:u w:val="single"/>
    </w:rPr>
  </w:style>
  <w:style w:type="character" w:styleId="Style8" w:customStyle="1">
    <w:name w:val="Текст концевой сноски Знак"/>
    <w:uiPriority w:val="99"/>
    <w:semiHidden/>
    <w:qFormat/>
    <w:rPr/>
  </w:style>
  <w:style w:type="character" w:styleId="Style9">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10" w:customStyle="1">
    <w:name w:val="Верхний колонтитул Знак"/>
    <w:basedOn w:val="DefaultParagraphFont"/>
    <w:uiPriority w:val="99"/>
    <w:qFormat/>
    <w:rPr>
      <w:sz w:val="28"/>
      <w:szCs w:val="28"/>
    </w:rPr>
  </w:style>
  <w:style w:type="character" w:styleId="Style11" w:customStyle="1">
    <w:name w:val="Текст Знак"/>
    <w:basedOn w:val="DefaultParagraphFont"/>
    <w:uiPriority w:val="99"/>
    <w:semiHidden/>
    <w:qFormat/>
    <w:rPr>
      <w:rFonts w:ascii="Calibri" w:hAnsi="Calibri" w:eastAsia="Calibri" w:cs="Arial" w:cstheme="minorBidi" w:eastAsiaTheme="minorHAnsi"/>
      <w:sz w:val="22"/>
      <w:szCs w:val="21"/>
      <w:lang w:eastAsia="en-US"/>
    </w:rPr>
  </w:style>
  <w:style w:type="character" w:styleId="Style12" w:customStyle="1">
    <w:name w:val="Абзац списка Знак"/>
    <w:uiPriority w:val="34"/>
    <w:qFormat/>
    <w:rPr>
      <w:sz w:val="24"/>
      <w:szCs w:val="24"/>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cs="Arial Unicode MS"/>
    </w:rPr>
  </w:style>
  <w:style w:type="paragraph" w:styleId="Caption">
    <w:name w:val="Caption"/>
    <w:basedOn w:val="Normal"/>
    <w:qFormat/>
    <w:pPr>
      <w:widowControl w:val="false"/>
      <w:spacing w:lineRule="auto" w:line="240" w:before="120" w:after="120"/>
      <w:ind w:hanging="0"/>
    </w:pPr>
    <w:rPr>
      <w:b/>
      <w:bCs/>
      <w:sz w:val="24"/>
      <w:szCs w:val="24"/>
    </w:rPr>
  </w:style>
  <w:style w:type="paragraph" w:styleId="Style15">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TOC1">
    <w:name w:val="TOC 1"/>
    <w:basedOn w:val="Normal"/>
    <w:uiPriority w:val="39"/>
    <w:unhideWhenUsed/>
    <w:pPr>
      <w:spacing w:before="0" w:after="57"/>
      <w:ind w:left="0" w:right="0" w:hanging="0"/>
    </w:pPr>
    <w:rPr/>
  </w:style>
  <w:style w:type="paragraph" w:styleId="TOC2">
    <w:name w:val="TOC 2"/>
    <w:basedOn w:val="Normal"/>
    <w:uiPriority w:val="39"/>
    <w:unhideWhenUsed/>
    <w:pPr>
      <w:spacing w:before="0" w:after="57"/>
      <w:ind w:left="283" w:right="0" w:hanging="0"/>
    </w:pPr>
    <w:rPr/>
  </w:style>
  <w:style w:type="paragraph" w:styleId="TOC3">
    <w:name w:val="TOC 3"/>
    <w:basedOn w:val="Normal"/>
    <w:uiPriority w:val="39"/>
    <w:unhideWhenUsed/>
    <w:pPr>
      <w:spacing w:before="0" w:after="57"/>
      <w:ind w:left="567" w:right="0" w:hanging="0"/>
    </w:pPr>
    <w:rPr/>
  </w:style>
  <w:style w:type="paragraph" w:styleId="TOC4">
    <w:name w:val="TOC 4"/>
    <w:basedOn w:val="Normal"/>
    <w:uiPriority w:val="39"/>
    <w:unhideWhenUsed/>
    <w:pPr>
      <w:spacing w:before="0" w:after="57"/>
      <w:ind w:left="850" w:right="0" w:hanging="0"/>
    </w:pPr>
    <w:rPr/>
  </w:style>
  <w:style w:type="paragraph" w:styleId="TOC5">
    <w:name w:val="TOC 5"/>
    <w:basedOn w:val="Normal"/>
    <w:uiPriority w:val="39"/>
    <w:unhideWhenUsed/>
    <w:pPr>
      <w:spacing w:before="0" w:after="57"/>
      <w:ind w:left="1134" w:right="0" w:hanging="0"/>
    </w:pPr>
    <w:rPr/>
  </w:style>
  <w:style w:type="paragraph" w:styleId="TOC6">
    <w:name w:val="TOC 6"/>
    <w:basedOn w:val="Normal"/>
    <w:uiPriority w:val="39"/>
    <w:unhideWhenUsed/>
    <w:pPr>
      <w:spacing w:before="0" w:after="57"/>
      <w:ind w:left="1417" w:right="0" w:hanging="0"/>
    </w:pPr>
    <w:rPr/>
  </w:style>
  <w:style w:type="paragraph" w:styleId="TOC7">
    <w:name w:val="TOC 7"/>
    <w:basedOn w:val="Normal"/>
    <w:uiPriority w:val="39"/>
    <w:unhideWhenUsed/>
    <w:pPr>
      <w:spacing w:before="0" w:after="57"/>
      <w:ind w:left="1701" w:right="0" w:hanging="0"/>
    </w:pPr>
    <w:rPr/>
  </w:style>
  <w:style w:type="paragraph" w:styleId="TOC8">
    <w:name w:val="TOC 8"/>
    <w:basedOn w:val="Normal"/>
    <w:uiPriority w:val="39"/>
    <w:unhideWhenUsed/>
    <w:pPr>
      <w:spacing w:before="0" w:after="57"/>
      <w:ind w:left="1984" w:right="0" w:hanging="0"/>
    </w:pPr>
    <w:rPr/>
  </w:style>
  <w:style w:type="paragraph" w:styleId="TOC9">
    <w:name w:val="TOC 9"/>
    <w:basedOn w:val="Normal"/>
    <w:uiPriority w:val="39"/>
    <w:unhideWhenUsed/>
    <w:pPr>
      <w:spacing w:before="0" w:after="57"/>
      <w:ind w:left="2268" w:right="0" w:hanging="0"/>
    </w:pPr>
    <w:rPr/>
  </w:style>
  <w:style w:type="paragraph" w:styleId="IndexHeading">
    <w:name w:val="Index Heading"/>
    <w:basedOn w:val="Style14"/>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uiPriority w:val="99"/>
    <w:unhideWhenUsed/>
    <w:qFormat/>
    <w:pPr>
      <w:spacing w:before="0" w:afterAutospacing="0" w:after="0"/>
    </w:pPr>
    <w:rPr/>
  </w:style>
  <w:style w:type="paragraph" w:styleId="BodyText3">
    <w:name w:val="Body Text 3"/>
    <w:basedOn w:val="Normal"/>
    <w:qFormat/>
    <w:pPr>
      <w:spacing w:lineRule="auto" w:line="240"/>
      <w:ind w:hanging="0"/>
    </w:pPr>
    <w:rPr>
      <w:color w:val="0000FF"/>
      <w:sz w:val="24"/>
      <w:szCs w:val="24"/>
      <w:lang w:eastAsia="en-US"/>
    </w:rPr>
  </w:style>
  <w:style w:type="paragraph" w:styleId="Style16">
    <w:name w:val="Колонтитул"/>
    <w:basedOn w:val="Normal"/>
    <w:qFormat/>
    <w:pPr/>
    <w:rPr/>
  </w:style>
  <w:style w:type="paragraph" w:styleId="Header">
    <w:name w:val="Header"/>
    <w:basedOn w:val="Normal"/>
    <w:uiPriority w:val="99"/>
    <w:pPr>
      <w:tabs>
        <w:tab w:val="clear" w:pos="709"/>
        <w:tab w:val="center" w:pos="4677" w:leader="none"/>
        <w:tab w:val="right" w:pos="9355" w:leader="none"/>
      </w:tabs>
    </w:pPr>
    <w:rPr/>
  </w:style>
  <w:style w:type="paragraph" w:styleId="Style17"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8"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uiPriority w:val="99"/>
    <w:pPr>
      <w:spacing w:lineRule="auto" w:line="240"/>
      <w:ind w:hanging="0"/>
      <w:jc w:val="left"/>
    </w:pPr>
    <w:rPr>
      <w:sz w:val="20"/>
      <w:szCs w:val="20"/>
    </w:rPr>
  </w:style>
  <w:style w:type="paragraph" w:styleId="Style19"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0"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1" w:customStyle="1">
    <w:name w:val="Пункт договора"/>
    <w:basedOn w:val="Normal"/>
    <w:qFormat/>
    <w:pPr>
      <w:widowControl w:val="false"/>
      <w:spacing w:lineRule="auto" w:line="240"/>
      <w:ind w:hanging="0"/>
    </w:pPr>
    <w:rPr>
      <w:rFonts w:ascii="Arial" w:hAnsi="Arial"/>
      <w:sz w:val="20"/>
      <w:szCs w:val="20"/>
    </w:rPr>
  </w:style>
  <w:style w:type="paragraph" w:styleId="Style22" w:customStyle="1">
    <w:name w:val="Подпункт договора"/>
    <w:basedOn w:val="Normal"/>
    <w:qFormat/>
    <w:pPr>
      <w:tabs>
        <w:tab w:val="clear" w:pos="709"/>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uiPriority w:val="34"/>
    <w:qFormat/>
    <w:pPr>
      <w:spacing w:lineRule="auto" w:line="240" w:before="0" w:after="0"/>
      <w:ind w:left="720" w:hanging="0"/>
      <w:contextualSpacing/>
      <w:jc w:val="left"/>
    </w:pPr>
    <w:rPr>
      <w:sz w:val="24"/>
      <w:szCs w:val="24"/>
    </w:rPr>
  </w:style>
  <w:style w:type="paragraph" w:styleId="12" w:customStyle="1">
    <w:name w:val="1. Статья"/>
    <w:basedOn w:val="Heading3"/>
    <w:qFormat/>
    <w:pPr>
      <w:keepNext w:val="false"/>
      <w:widowControl w:val="false"/>
      <w:numPr>
        <w:ilvl w:val="0"/>
        <w:numId w:val="1"/>
      </w:numPr>
      <w:tabs>
        <w:tab w:val="clear" w:pos="709"/>
        <w:tab w:val="left" w:pos="2340" w:leader="none"/>
      </w:tabs>
      <w:spacing w:before="0" w:after="0"/>
      <w:ind w:right="1462" w:hanging="0"/>
      <w:jc w:val="center"/>
    </w:pPr>
    <w:rPr>
      <w:b w:val="false"/>
      <w:sz w:val="24"/>
      <w:szCs w:val="24"/>
    </w:rPr>
  </w:style>
  <w:style w:type="paragraph" w:styleId="22"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qFormat/>
    <w:pPr>
      <w:keepNext w:val="false"/>
      <w:widowControl w:val="false"/>
      <w:numPr>
        <w:ilvl w:val="2"/>
        <w:numId w:val="1"/>
      </w:numPr>
      <w:tabs>
        <w:tab w:val="clear" w:pos="709"/>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BalloonText">
    <w:name w:val="Balloon Text"/>
    <w:basedOn w:val="Normal"/>
    <w:qFormat/>
    <w:pPr>
      <w:spacing w:lineRule="auto" w:line="240"/>
    </w:pPr>
    <w:rPr>
      <w:rFonts w:ascii="Tahoma" w:hAnsi="Tahoma"/>
      <w:sz w:val="16"/>
      <w:szCs w:val="16"/>
    </w:rPr>
  </w:style>
  <w:style w:type="paragraph" w:styleId="41" w:customStyle="1">
    <w:name w:val="4. Отчерк"/>
    <w:basedOn w:val="Normal"/>
    <w:qFormat/>
    <w:pPr>
      <w:widowControl w:val="false"/>
      <w:numPr>
        <w:ilvl w:val="0"/>
        <w:numId w:val="2"/>
      </w:numPr>
      <w:spacing w:lineRule="auto" w:line="240"/>
    </w:pPr>
    <w:rPr>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uiPriority w:val="99"/>
    <w:qFormat/>
    <w:pPr/>
    <w:rPr>
      <w:b/>
      <w:bCs/>
    </w:rPr>
  </w:style>
  <w:style w:type="paragraph" w:styleId="Footer">
    <w:name w:val="Footer"/>
    <w:basedOn w:val="Normal"/>
    <w:uiPriority w:val="99"/>
    <w:pPr>
      <w:tabs>
        <w:tab w:val="clear" w:pos="709"/>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Title" w:customStyle="1">
    <w:name w:val="Title"/>
    <w:basedOn w:val="Normal"/>
    <w:qFormat/>
    <w:pPr>
      <w:widowControl w:val="false"/>
      <w:spacing w:lineRule="auto" w:line="240" w:before="0" w:after="120"/>
      <w:ind w:hanging="0"/>
      <w:jc w:val="center"/>
    </w:pPr>
    <w:rPr>
      <w:b/>
      <w:bCs/>
      <w:sz w:val="32"/>
      <w:szCs w:val="20"/>
    </w:rPr>
  </w:style>
  <w:style w:type="paragraph" w:styleId="BodyTextIndent">
    <w:name w:val="Body Text Indent"/>
    <w:basedOn w:val="Normal"/>
    <w:pPr>
      <w:spacing w:before="0" w:after="120"/>
      <w:ind w:left="283" w:firstLine="567"/>
    </w:pPr>
    <w:rPr/>
  </w:style>
  <w:style w:type="paragraph" w:styleId="333" w:customStyle="1">
    <w:name w:val="Пункт 3.3.3"/>
    <w:basedOn w:val="Normal"/>
    <w:qFormat/>
    <w:pPr>
      <w:keepNext w:val="true"/>
      <w:keepLines/>
      <w:widowControl w:val="false"/>
      <w:tabs>
        <w:tab w:val="clear" w:pos="709"/>
        <w:tab w:val="left" w:pos="920" w:leader="none"/>
      </w:tabs>
      <w:spacing w:lineRule="auto" w:line="240" w:before="240" w:after="240"/>
      <w:ind w:left="704" w:hanging="504"/>
      <w:jc w:val="left"/>
      <w:outlineLvl w:val="1"/>
    </w:pPr>
    <w:rPr>
      <w:sz w:val="24"/>
      <w:szCs w:val="20"/>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9"/>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uiPriority w:val="99"/>
    <w:semiHidden/>
    <w:unhideWhenUsed/>
    <w:pPr/>
    <w:rPr>
      <w:sz w:val="20"/>
      <w:szCs w:val="20"/>
    </w:rPr>
  </w:style>
  <w:style w:type="paragraph" w:styleId="PlainText">
    <w:name w:val="Plain Text"/>
    <w:basedOn w:val="Normal"/>
    <w:uiPriority w:val="99"/>
    <w:semiHidden/>
    <w:unhideWhenUsed/>
    <w:qFormat/>
    <w:pPr>
      <w:spacing w:lineRule="auto" w:line="240"/>
      <w:ind w:hanging="0"/>
      <w:jc w:val="left"/>
    </w:pPr>
    <w:rPr>
      <w:rFonts w:ascii="Calibri" w:hAnsi="Calibri" w:eastAsia="Calibri" w:cs="Arial" w:cstheme="minorBidi" w:eastAsiaTheme="minorHAnsi"/>
      <w:sz w:val="22"/>
      <w:szCs w:val="21"/>
      <w:lang w:eastAsia="en-US"/>
    </w:rPr>
  </w:style>
  <w:style w:type="paragraph" w:styleId="Style23">
    <w:name w:val="Горизонтальная линия"/>
    <w:basedOn w:val="Normal"/>
    <w:next w:val="BodyText"/>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Relationship Id="rId17" Type="http://schemas.openxmlformats.org/officeDocument/2006/relationships/customXml" Target="../customXml/item5.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58912-A860-4625-B7F6-93D124AA8AD6}">
  <ds:schemaRefs>
    <ds:schemaRef ds:uri="http://schemas.microsoft.com/office/2006/documentManagement/types"/>
    <ds:schemaRef ds:uri="http://schemas.microsoft.com/office/2006/metadata/properti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272268F8-CD4E-4501-A11A-D05927819D85}">
  <ds:schemaRefs>
    <ds:schemaRef ds:uri="http://schemas.openxmlformats.org/officeDocument/2006/bibliography"/>
  </ds:schemaRefs>
</ds:datastoreItem>
</file>

<file path=customXml/itemProps4.xml><?xml version="1.0" encoding="utf-8"?>
<ds:datastoreItem xmlns:ds="http://schemas.openxmlformats.org/officeDocument/2006/customXml" ds:itemID="{491B9E41-DCCF-48D8-A6A3-3AF809CB52BE}">
  <ds:schemaRefs>
    <ds:schemaRef ds:uri="http://schemas.openxmlformats.org/officeDocument/2006/bibliography"/>
  </ds:schemaRefs>
</ds:datastoreItem>
</file>

<file path=customXml/itemProps5.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Application>AlterOffice/2025.3.1.0$Linux_X86_64 LibreOffice_project/431cd1b79110582f53535c95ed0a2449aadc8bf9</Application>
  <AppVersion>15.0000</AppVersion>
  <DocSecurity>4</DocSecurity>
  <Pages>29</Pages>
  <Words>12601</Words>
  <Characters>90400</Characters>
  <CharactersWithSpaces>102625</CharactersWithSpaces>
  <Paragraphs>472</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2025-03-10T04:02:00Z</dcterms:created>
  <dc:creator>UK VoHEC</dc:creator>
  <dc:description/>
  <dc:language>ru-RU</dc:language>
  <cp:lastModifiedBy>kautenko_ma@DGK.RU</cp:lastModifiedBy>
  <dcterms:modified xsi:type="dcterms:W3CDTF">2026-03-24T11:47:32Z</dcterms:modified>
  <cp:revision>53</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